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8AE" w:rsidRDefault="008874CD">
      <w:pPr>
        <w:pStyle w:val="Teksttreci0"/>
        <w:spacing w:line="218" w:lineRule="auto"/>
        <w:jc w:val="center"/>
      </w:pPr>
      <w:r>
        <w:rPr>
          <w:b/>
          <w:bCs/>
        </w:rPr>
        <w:t>Uchwała nr 1/86/2021</w:t>
      </w:r>
      <w:r>
        <w:rPr>
          <w:b/>
          <w:bCs/>
        </w:rPr>
        <w:br/>
        <w:t>Składu Orzekającego Regionalnej Izby Obrachunkowej we Wrocławiu</w:t>
      </w:r>
      <w:r>
        <w:rPr>
          <w:b/>
          <w:bCs/>
        </w:rPr>
        <w:br/>
        <w:t>z dnia 14 grudnia 2021 r.</w:t>
      </w:r>
    </w:p>
    <w:p w:rsidR="009678AE" w:rsidRDefault="008874CD">
      <w:pPr>
        <w:pStyle w:val="Nagwek10"/>
        <w:keepNext/>
        <w:keepLines/>
        <w:spacing w:after="680"/>
      </w:pPr>
      <w:bookmarkStart w:id="0" w:name="bookmark0"/>
      <w:r>
        <w:t>w sprawie opinii o możliwości sfinansowania deficytu budżetu Gminy i Miasta Węgliniec</w:t>
      </w:r>
      <w:r>
        <w:br/>
        <w:t xml:space="preserve">przedstawionego w projekcie uchwały budżetowej gminy </w:t>
      </w:r>
      <w:r>
        <w:t>Węgliniec na 2022 rok</w:t>
      </w:r>
      <w:bookmarkEnd w:id="0"/>
    </w:p>
    <w:p w:rsidR="009678AE" w:rsidRDefault="008874CD">
      <w:pPr>
        <w:pStyle w:val="Teksttreci0"/>
        <w:ind w:firstLine="520"/>
        <w:jc w:val="both"/>
      </w:pPr>
      <w:r>
        <w:t>Na podstawie art. 246 ust. 1 ustawy z dnia 27 sierpnia 2009 r. o finansach publicznych (Dz.U. z</w:t>
      </w:r>
      <w:r>
        <w:br/>
        <w:t xml:space="preserve">2021 r. poz. 305 z późn. </w:t>
      </w:r>
      <w:proofErr w:type="spellStart"/>
      <w:r>
        <w:t>zm</w:t>
      </w:r>
      <w:proofErr w:type="spellEnd"/>
      <w:r>
        <w:t>), w związku z art. 19 ust. 2 ustawy z dnia 7 października 1992 r. o</w:t>
      </w:r>
      <w:r>
        <w:br/>
        <w:t>regionalnych izbach obrachunkowych (Dz. U.</w:t>
      </w:r>
      <w:r>
        <w:t xml:space="preserve"> z 2019 r. poz. 2137) oraz zarządzenia nr 17/21 Prezesa</w:t>
      </w:r>
      <w:r>
        <w:br/>
        <w:t>Regionalnej Izby Obrachunkowej we Wrocławiu z dnia 16 listopada 2021 r. w sprawie wyznaczenia</w:t>
      </w:r>
      <w:r>
        <w:br/>
        <w:t>składów orzekających i ich przewodniczących, Skład Orzekający Regionalnej Izby Obrachunkowej</w:t>
      </w:r>
      <w:r>
        <w:br/>
        <w:t xml:space="preserve">we Wrocławiu </w:t>
      </w:r>
      <w:r>
        <w:t>w osobach:</w:t>
      </w:r>
    </w:p>
    <w:p w:rsidR="009678AE" w:rsidRDefault="008874CD">
      <w:pPr>
        <w:pStyle w:val="Teksttreci0"/>
        <w:numPr>
          <w:ilvl w:val="0"/>
          <w:numId w:val="1"/>
        </w:numPr>
        <w:tabs>
          <w:tab w:val="left" w:pos="376"/>
        </w:tabs>
        <w:spacing w:after="0"/>
        <w:ind w:firstLine="140"/>
      </w:pPr>
      <w:r>
        <w:t>Magdalena Macias — przewodnicząca,</w:t>
      </w:r>
    </w:p>
    <w:p w:rsidR="009678AE" w:rsidRDefault="008874CD">
      <w:pPr>
        <w:pStyle w:val="Teksttreci0"/>
        <w:numPr>
          <w:ilvl w:val="0"/>
          <w:numId w:val="1"/>
        </w:numPr>
        <w:tabs>
          <w:tab w:val="left" w:pos="380"/>
        </w:tabs>
        <w:spacing w:after="0"/>
        <w:ind w:firstLine="140"/>
      </w:pPr>
      <w:r>
        <w:t xml:space="preserve">Joanna </w:t>
      </w:r>
      <w:proofErr w:type="spellStart"/>
      <w:r>
        <w:t>Stylska</w:t>
      </w:r>
      <w:proofErr w:type="spellEnd"/>
      <w:r>
        <w:t xml:space="preserve"> — członek,</w:t>
      </w:r>
    </w:p>
    <w:p w:rsidR="009678AE" w:rsidRDefault="008874CD">
      <w:pPr>
        <w:pStyle w:val="Teksttreci0"/>
        <w:numPr>
          <w:ilvl w:val="0"/>
          <w:numId w:val="1"/>
        </w:numPr>
        <w:tabs>
          <w:tab w:val="left" w:pos="380"/>
        </w:tabs>
        <w:spacing w:after="100"/>
        <w:ind w:firstLine="140"/>
      </w:pPr>
      <w:r>
        <w:t xml:space="preserve">Arkadiusz </w:t>
      </w:r>
      <w:proofErr w:type="spellStart"/>
      <w:r>
        <w:t>Babczuk</w:t>
      </w:r>
      <w:proofErr w:type="spellEnd"/>
      <w:r>
        <w:t xml:space="preserve"> — członek,</w:t>
      </w:r>
    </w:p>
    <w:p w:rsidR="009678AE" w:rsidRDefault="008874CD">
      <w:pPr>
        <w:pStyle w:val="Nagwek10"/>
        <w:keepNext/>
        <w:keepLines/>
        <w:spacing w:after="220"/>
      </w:pPr>
      <w:bookmarkStart w:id="1" w:name="bookmark2"/>
      <w:r>
        <w:t>wydaje opinię pozytywną</w:t>
      </w:r>
      <w:bookmarkEnd w:id="1"/>
    </w:p>
    <w:p w:rsidR="009678AE" w:rsidRDefault="008874CD">
      <w:pPr>
        <w:pStyle w:val="Teksttreci0"/>
        <w:spacing w:after="320"/>
      </w:pPr>
      <w:r>
        <w:t>o możliwości sfinansowania deficytu budżetu gminy i miasta Węgliniec przedstawionego w projekcie</w:t>
      </w:r>
      <w:r>
        <w:br/>
        <w:t>uchwały budżetowej gminy Węgliniec</w:t>
      </w:r>
      <w:r>
        <w:t xml:space="preserve"> na 2022 rok.</w:t>
      </w:r>
    </w:p>
    <w:p w:rsidR="009678AE" w:rsidRDefault="008874CD">
      <w:pPr>
        <w:pStyle w:val="Nagwek10"/>
        <w:keepNext/>
        <w:keepLines/>
        <w:spacing w:after="220"/>
      </w:pPr>
      <w:bookmarkStart w:id="2" w:name="bookmark4"/>
      <w:r>
        <w:t>Uzasadnienie</w:t>
      </w:r>
      <w:bookmarkEnd w:id="2"/>
    </w:p>
    <w:p w:rsidR="009678AE" w:rsidRDefault="008874CD">
      <w:pPr>
        <w:pStyle w:val="Teksttreci0"/>
        <w:spacing w:after="0"/>
        <w:ind w:firstLine="520"/>
        <w:jc w:val="both"/>
      </w:pPr>
      <w:r>
        <w:t>Zgodnie z art. 246 ust. 1 ustawy z dnia 27 sierpnia 2009 r. o finansach publicznych (Dz.U. z</w:t>
      </w:r>
      <w:r>
        <w:br/>
        <w:t xml:space="preserve">2021 r. poz. 305 z późn. zm.), dalej - </w:t>
      </w:r>
      <w:proofErr w:type="spellStart"/>
      <w:r>
        <w:t>ufp</w:t>
      </w:r>
      <w:proofErr w:type="spellEnd"/>
      <w:r>
        <w:t>, regionalna izba obrachunkowa na podstawie projektu</w:t>
      </w:r>
      <w:r>
        <w:br/>
        <w:t>uchwały budżetowej przedstawia opinię w s</w:t>
      </w:r>
      <w:r>
        <w:t>prawie możliwości sfinansowania deficytu</w:t>
      </w:r>
      <w:r>
        <w:br/>
        <w:t>przedstawionego przez jednostkę samorządu terytorialnego.</w:t>
      </w:r>
    </w:p>
    <w:p w:rsidR="009678AE" w:rsidRDefault="008874CD">
      <w:pPr>
        <w:pStyle w:val="Teksttreci0"/>
        <w:jc w:val="both"/>
      </w:pPr>
      <w:r>
        <w:t>Projekt uchwały budżetowej na 2022 rok Burmistrz Gminy i Miasta Węgliniec przedłożył</w:t>
      </w:r>
      <w:r>
        <w:br/>
        <w:t xml:space="preserve">zarządzeniem nr 115/2021 z dnia 15 listopada 2021 r. w sprawie projektu </w:t>
      </w:r>
      <w:r>
        <w:t>budżetu Gminy i Miasta</w:t>
      </w:r>
      <w:r>
        <w:br/>
        <w:t>Węgliniec na 2022 r. oraz projektu w sprawie Wieloletniej Prognozy Finansowej Gminy Węgliniec.</w:t>
      </w:r>
      <w:r>
        <w:br/>
        <w:t>Zarządzenie wpłynęło do tutejszej Izby 15 listopada 2021 roku.</w:t>
      </w:r>
    </w:p>
    <w:p w:rsidR="009678AE" w:rsidRDefault="008874CD">
      <w:pPr>
        <w:pStyle w:val="Teksttreci0"/>
        <w:spacing w:after="0"/>
        <w:jc w:val="both"/>
      </w:pPr>
      <w:r>
        <w:t>W projekcie budżetu na 2022 rok zaplanowano:</w:t>
      </w:r>
    </w:p>
    <w:p w:rsidR="009678AE" w:rsidRDefault="008874CD">
      <w:pPr>
        <w:pStyle w:val="Teksttreci0"/>
        <w:numPr>
          <w:ilvl w:val="0"/>
          <w:numId w:val="2"/>
        </w:numPr>
        <w:tabs>
          <w:tab w:val="left" w:pos="312"/>
        </w:tabs>
        <w:spacing w:after="0"/>
        <w:jc w:val="both"/>
      </w:pPr>
      <w:r>
        <w:t>dochody w wysokości - 42.766.3</w:t>
      </w:r>
      <w:r>
        <w:t>47,89 zł, z tego:</w:t>
      </w:r>
    </w:p>
    <w:p w:rsidR="009678AE" w:rsidRDefault="008874CD">
      <w:pPr>
        <w:pStyle w:val="Teksttreci0"/>
        <w:numPr>
          <w:ilvl w:val="0"/>
          <w:numId w:val="3"/>
        </w:numPr>
        <w:tabs>
          <w:tab w:val="left" w:pos="240"/>
        </w:tabs>
        <w:spacing w:after="0"/>
        <w:jc w:val="both"/>
      </w:pPr>
      <w:r>
        <w:t>dochody bieżące - 36.073.077,78 zł</w:t>
      </w:r>
    </w:p>
    <w:p w:rsidR="009678AE" w:rsidRDefault="008874CD">
      <w:pPr>
        <w:pStyle w:val="Teksttreci0"/>
        <w:numPr>
          <w:ilvl w:val="0"/>
          <w:numId w:val="3"/>
        </w:numPr>
        <w:tabs>
          <w:tab w:val="left" w:pos="240"/>
        </w:tabs>
        <w:spacing w:after="0"/>
        <w:jc w:val="both"/>
      </w:pPr>
      <w:r>
        <w:t>dochody majątkowe - 6.693.270,11 zł</w:t>
      </w:r>
    </w:p>
    <w:p w:rsidR="009678AE" w:rsidRDefault="008874CD">
      <w:pPr>
        <w:pStyle w:val="Teksttreci0"/>
        <w:numPr>
          <w:ilvl w:val="0"/>
          <w:numId w:val="2"/>
        </w:numPr>
        <w:tabs>
          <w:tab w:val="left" w:pos="326"/>
        </w:tabs>
        <w:spacing w:after="0"/>
        <w:jc w:val="both"/>
      </w:pPr>
      <w:r>
        <w:t>wydatki w wysokości - 47.089.947,89 zł, z tego:</w:t>
      </w:r>
    </w:p>
    <w:p w:rsidR="009678AE" w:rsidRDefault="008874CD">
      <w:pPr>
        <w:pStyle w:val="Teksttreci0"/>
        <w:numPr>
          <w:ilvl w:val="0"/>
          <w:numId w:val="4"/>
        </w:numPr>
        <w:tabs>
          <w:tab w:val="left" w:pos="240"/>
        </w:tabs>
        <w:spacing w:after="0"/>
        <w:jc w:val="both"/>
      </w:pPr>
      <w:r>
        <w:t>wydatki bieżące - 36.051.057,02 zł</w:t>
      </w:r>
    </w:p>
    <w:p w:rsidR="009678AE" w:rsidRDefault="008874CD">
      <w:pPr>
        <w:pStyle w:val="Teksttreci0"/>
        <w:numPr>
          <w:ilvl w:val="0"/>
          <w:numId w:val="4"/>
        </w:numPr>
        <w:tabs>
          <w:tab w:val="left" w:pos="240"/>
        </w:tabs>
        <w:spacing w:after="0"/>
        <w:jc w:val="both"/>
      </w:pPr>
      <w:r>
        <w:t>wydatki majątkowe - 11.038.890,87 zł</w:t>
      </w:r>
    </w:p>
    <w:p w:rsidR="009678AE" w:rsidRDefault="008874CD">
      <w:pPr>
        <w:pStyle w:val="Teksttreci0"/>
        <w:numPr>
          <w:ilvl w:val="0"/>
          <w:numId w:val="2"/>
        </w:numPr>
        <w:tabs>
          <w:tab w:val="left" w:pos="330"/>
        </w:tabs>
        <w:spacing w:after="0"/>
        <w:jc w:val="both"/>
      </w:pPr>
      <w:r>
        <w:t>deficyt budżetu - 4.323.600,00 zł</w:t>
      </w:r>
    </w:p>
    <w:p w:rsidR="009678AE" w:rsidRDefault="008874CD">
      <w:pPr>
        <w:pStyle w:val="Teksttreci0"/>
        <w:numPr>
          <w:ilvl w:val="0"/>
          <w:numId w:val="2"/>
        </w:numPr>
        <w:tabs>
          <w:tab w:val="left" w:pos="334"/>
        </w:tabs>
        <w:spacing w:after="0"/>
      </w:pPr>
      <w:r>
        <w:t>przychody w wysokości 5.540.000,00, z tego z tytułu:</w:t>
      </w:r>
    </w:p>
    <w:p w:rsidR="009678AE" w:rsidRDefault="008874CD">
      <w:pPr>
        <w:pStyle w:val="Teksttreci0"/>
        <w:numPr>
          <w:ilvl w:val="0"/>
          <w:numId w:val="5"/>
        </w:numPr>
        <w:tabs>
          <w:tab w:val="left" w:pos="236"/>
        </w:tabs>
        <w:spacing w:after="0"/>
      </w:pPr>
      <w:r>
        <w:t>zaciągniętych zobowiązań z tytułu kredytów i pożyczek - 2.300.000,00 zł,</w:t>
      </w:r>
    </w:p>
    <w:p w:rsidR="009678AE" w:rsidRDefault="008874CD">
      <w:pPr>
        <w:pStyle w:val="Teksttreci0"/>
        <w:numPr>
          <w:ilvl w:val="0"/>
          <w:numId w:val="5"/>
        </w:numPr>
        <w:tabs>
          <w:tab w:val="left" w:pos="240"/>
        </w:tabs>
        <w:spacing w:after="0"/>
      </w:pPr>
      <w:r>
        <w:t>nadwyżki budżetu jednostki samorządu terytorialnego z lat ubiegłych - 332.724,78 zł,</w:t>
      </w:r>
    </w:p>
    <w:p w:rsidR="009678AE" w:rsidRDefault="008874CD">
      <w:pPr>
        <w:pStyle w:val="Teksttreci0"/>
        <w:numPr>
          <w:ilvl w:val="0"/>
          <w:numId w:val="5"/>
        </w:numPr>
        <w:tabs>
          <w:tab w:val="left" w:pos="240"/>
        </w:tabs>
        <w:spacing w:after="0"/>
      </w:pPr>
      <w:r>
        <w:t>wolnych środków jako nadwyżki środków pienięż</w:t>
      </w:r>
      <w:r>
        <w:t>nych na rachunku bieżącym budżetu jednostki</w:t>
      </w:r>
      <w:r>
        <w:br/>
        <w:t>samorządu terytorialnego, wynikających z rozliczeń wyemitowanych papierów wartościowych,</w:t>
      </w:r>
      <w:r>
        <w:br/>
        <w:t>kredytów i pożyczek z lat ubiegłych - 1.707.275,22 zł,</w:t>
      </w:r>
    </w:p>
    <w:p w:rsidR="009678AE" w:rsidRDefault="008874CD">
      <w:pPr>
        <w:pStyle w:val="Teksttreci0"/>
        <w:numPr>
          <w:ilvl w:val="0"/>
          <w:numId w:val="5"/>
        </w:numPr>
        <w:tabs>
          <w:tab w:val="left" w:pos="244"/>
        </w:tabs>
        <w:spacing w:after="0"/>
      </w:pPr>
      <w:r>
        <w:t xml:space="preserve">niewykorzystanych środków pieniężnych na rachunku bieżącym budżetu, </w:t>
      </w:r>
      <w:r>
        <w:t>wynikających z rozliczenia</w:t>
      </w:r>
      <w:r>
        <w:br/>
        <w:t>dochodów i wydatków nimi finansowanych związanych ze szczególnymi zasadami wykonywania</w:t>
      </w:r>
      <w:r>
        <w:br/>
        <w:t>budżetu określonymi w odrębnych ustawach - 1.200.000,00 zł.</w:t>
      </w:r>
    </w:p>
    <w:p w:rsidR="009678AE" w:rsidRDefault="008874CD">
      <w:pPr>
        <w:pStyle w:val="Teksttreci0"/>
        <w:numPr>
          <w:ilvl w:val="0"/>
          <w:numId w:val="2"/>
        </w:numPr>
        <w:tabs>
          <w:tab w:val="left" w:pos="323"/>
        </w:tabs>
        <w:spacing w:after="0"/>
      </w:pPr>
      <w:r>
        <w:t>rozchody związane ze spłatą rat kredytów i pożyczek - 1.216.400,00 zł.</w:t>
      </w:r>
    </w:p>
    <w:p w:rsidR="009678AE" w:rsidRDefault="008874CD">
      <w:pPr>
        <w:pStyle w:val="Teksttreci0"/>
        <w:spacing w:after="0"/>
      </w:pPr>
      <w:r>
        <w:t>W projekcie</w:t>
      </w:r>
      <w:r>
        <w:t xml:space="preserve"> budżetu zaplanowano deficyt w kwocie 4.323.600,00 </w:t>
      </w:r>
      <w:r>
        <w:rPr>
          <w:rFonts w:ascii="Arial" w:eastAsia="Arial" w:hAnsi="Arial" w:cs="Arial"/>
          <w:i/>
          <w:iCs/>
          <w:sz w:val="18"/>
          <w:szCs w:val="18"/>
        </w:rPr>
        <w:t>zł,</w:t>
      </w:r>
      <w:r>
        <w:t xml:space="preserve"> którego źródłem finansowania</w:t>
      </w:r>
      <w:r>
        <w:br/>
        <w:t>są przychody z zaciągniętych zobowiązań z tytułu kredytów i pożyczek, wolnych środków jako</w:t>
      </w:r>
      <w:r>
        <w:br/>
        <w:t>nadwyżki środków pieniężnych na rachunku bieżącym budżetu jednostki samorządu ter</w:t>
      </w:r>
      <w:r>
        <w:t>ytorialnego,</w:t>
      </w:r>
      <w:r>
        <w:br/>
        <w:t>wynikających z rozliczeń wyemitowanych papierów wartościowych, kredytów i pożyczek z lat</w:t>
      </w:r>
      <w:r>
        <w:br w:type="page"/>
      </w:r>
      <w:r>
        <w:lastRenderedPageBreak/>
        <w:t>ubiegłych, niewykorzystanych środków pieniężnych na rachunku bieżącym budżetu, wynikających z</w:t>
      </w:r>
      <w:r>
        <w:br/>
        <w:t>rozliczenia dochodów i wydatków nimi finansowanych związanyc</w:t>
      </w:r>
      <w:r>
        <w:t>h ze szczególnymi zasadami</w:t>
      </w:r>
      <w:r>
        <w:br/>
        <w:t>wykonywania budżetu określonymi w odrębnych ustawach. Wymienione źródła sfinansowania</w:t>
      </w:r>
      <w:r>
        <w:br/>
        <w:t xml:space="preserve">deficytu są zgodne z art. 217 ust. 2 pkt 2, 3, 6 i 8 </w:t>
      </w:r>
      <w:proofErr w:type="spellStart"/>
      <w:r>
        <w:t>ufp</w:t>
      </w:r>
      <w:proofErr w:type="spellEnd"/>
      <w:r>
        <w:t>.</w:t>
      </w:r>
    </w:p>
    <w:p w:rsidR="009678AE" w:rsidRDefault="008874CD">
      <w:pPr>
        <w:pStyle w:val="Teksttreci0"/>
        <w:jc w:val="both"/>
      </w:pPr>
      <w:r>
        <w:t>Projekt wieloletniej prognozy finansowej przekazany został drogą elektroniczną łączni</w:t>
      </w:r>
      <w:r>
        <w:t>e z projektem</w:t>
      </w:r>
      <w:r>
        <w:br/>
        <w:t>uchwały budżetowej. Z zawartej w projekcie prognozy kwoty długu i jego spłaty w latach 2022 -</w:t>
      </w:r>
      <w:r>
        <w:br/>
        <w:t>2040 wynika, że kwota długu na koniec 2022 roku wyniesie 14.283.429,00 zł a jej spłatę planuje się</w:t>
      </w:r>
      <w:r>
        <w:br/>
        <w:t>do 2040 roku. Na kwotę długu składają się dotychc</w:t>
      </w:r>
      <w:r>
        <w:t>zas zaciągnięte oraz planowane do zaciągnięcia w</w:t>
      </w:r>
      <w:r>
        <w:br/>
        <w:t>roku budżetowym kredyty i pożyczki.</w:t>
      </w:r>
    </w:p>
    <w:p w:rsidR="009678AE" w:rsidRDefault="008874CD">
      <w:pPr>
        <w:pStyle w:val="Teksttreci0"/>
        <w:jc w:val="both"/>
      </w:pPr>
      <w:r>
        <w:t>Jak wynika z przedłożonego projektu wieloletniej prognozy finansowej obliczone na podstawie</w:t>
      </w:r>
      <w:r>
        <w:br/>
        <w:t>prognozowanych wielkości w latach 2022 - 2040 relacje spłat zobowiązań finansow</w:t>
      </w:r>
      <w:r>
        <w:t>ych i kosztów ich</w:t>
      </w:r>
      <w:r>
        <w:br/>
        <w:t xml:space="preserve">obsługi określone w art. 243 </w:t>
      </w:r>
      <w:proofErr w:type="spellStart"/>
      <w:r>
        <w:t>ufp</w:t>
      </w:r>
      <w:proofErr w:type="spellEnd"/>
      <w:r>
        <w:t>, przy zastosowaniu w latach 2022 - 2025 średnich arytmetycznych z</w:t>
      </w:r>
      <w:r>
        <w:br/>
        <w:t>ostatnich siedmiu lat, nie przekraczają dopuszczalnych poziomów obciążenia budżetu ich spłatą.</w:t>
      </w:r>
      <w:r>
        <w:br/>
        <w:t>Skład Orzekający zwraca jednak uwagę, że prz</w:t>
      </w:r>
      <w:r>
        <w:t>estrzeganie limitów określonych przepisami o</w:t>
      </w:r>
      <w:r>
        <w:br/>
        <w:t>finansach publicznych nie chroni przed utratą zdolności do finansowania właściwej realizacji zadań</w:t>
      </w:r>
      <w:r>
        <w:br/>
        <w:t>własnych gminy, co organy gminy winny mieć na uwadze planując zaciąganie zobowiązań</w:t>
      </w:r>
      <w:r>
        <w:br/>
        <w:t>długoterminowych.</w:t>
      </w:r>
    </w:p>
    <w:p w:rsidR="009678AE" w:rsidRDefault="008874CD">
      <w:pPr>
        <w:pStyle w:val="Teksttreci0"/>
      </w:pPr>
      <w:r>
        <w:t xml:space="preserve">W związku </w:t>
      </w:r>
      <w:r>
        <w:t>z powyższym postanowiono jak w sentencji.</w:t>
      </w:r>
    </w:p>
    <w:p w:rsidR="009678AE" w:rsidRDefault="008874CD">
      <w:pPr>
        <w:pStyle w:val="Teksttreci0"/>
        <w:jc w:val="both"/>
      </w:pPr>
      <w:r>
        <w:t xml:space="preserve">Niniejsza uchwała Składu Orzekającego, zgodnie z art. 246 ust. 2 </w:t>
      </w:r>
      <w:proofErr w:type="spellStart"/>
      <w:r>
        <w:t>ufp</w:t>
      </w:r>
      <w:proofErr w:type="spellEnd"/>
      <w:r>
        <w:t>, podlega publikacji przez</w:t>
      </w:r>
      <w:r>
        <w:br/>
        <w:t>jednostkę samorządu terytorialnego na zasadach określonych w ustawie z dnia 6 września 2001 r. o</w:t>
      </w:r>
      <w:r>
        <w:br/>
        <w:t xml:space="preserve">dostępie do </w:t>
      </w:r>
      <w:r>
        <w:t>informacji publicznej (Dz.U. z 2020 r. poz. 2176, z 2021 r. poz. 1598) w terminie 7 dni</w:t>
      </w:r>
      <w:r>
        <w:br/>
        <w:t>od dnia jej otrzymania.</w:t>
      </w:r>
    </w:p>
    <w:p w:rsidR="009678AE" w:rsidRDefault="008874CD">
      <w:pPr>
        <w:pStyle w:val="Teksttreci0"/>
        <w:spacing w:after="0"/>
        <w:ind w:firstLine="460"/>
        <w:jc w:val="both"/>
      </w:pPr>
      <w:r>
        <w:t>Od niniejszej uchwały przysługuje zgodnie z art. 20 ust. 1 ustawy o regionalnych izbach</w:t>
      </w:r>
      <w:r>
        <w:br/>
        <w:t>obrachunkowych odwołanie do Kolegium Regionalnej Izby Ob</w:t>
      </w:r>
      <w:r>
        <w:t>rachunkowej we Wrocławiu w terminie</w:t>
      </w:r>
      <w:r>
        <w:br/>
        <w:t>14 dni od dnia doręczenia uchwały.</w:t>
      </w:r>
    </w:p>
    <w:p w:rsidR="009678AE" w:rsidRDefault="009678AE">
      <w:pPr>
        <w:pStyle w:val="Teksttreci20"/>
        <w:spacing w:after="220"/>
        <w:ind w:left="6700" w:right="0"/>
      </w:pPr>
      <w:bookmarkStart w:id="3" w:name="_GoBack"/>
      <w:bookmarkEnd w:id="3"/>
    </w:p>
    <w:sectPr w:rsidR="009678AE">
      <w:pgSz w:w="11900" w:h="16840"/>
      <w:pgMar w:top="1270" w:right="1262" w:bottom="1077" w:left="1146" w:header="842" w:footer="64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4CD" w:rsidRDefault="008874CD">
      <w:r>
        <w:separator/>
      </w:r>
    </w:p>
  </w:endnote>
  <w:endnote w:type="continuationSeparator" w:id="0">
    <w:p w:rsidR="008874CD" w:rsidRDefault="00887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4CD" w:rsidRDefault="008874CD"/>
  </w:footnote>
  <w:footnote w:type="continuationSeparator" w:id="0">
    <w:p w:rsidR="008874CD" w:rsidRDefault="008874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928F1"/>
    <w:multiLevelType w:val="multilevel"/>
    <w:tmpl w:val="C638D0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E370F3"/>
    <w:multiLevelType w:val="multilevel"/>
    <w:tmpl w:val="D58E2A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DE3C52"/>
    <w:multiLevelType w:val="multilevel"/>
    <w:tmpl w:val="D0640B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D574C8E"/>
    <w:multiLevelType w:val="multilevel"/>
    <w:tmpl w:val="6A1876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D304C5"/>
    <w:multiLevelType w:val="multilevel"/>
    <w:tmpl w:val="433CCA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8AE"/>
    <w:rsid w:val="008874CD"/>
    <w:rsid w:val="008D764B"/>
    <w:rsid w:val="0096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3999E"/>
  <w15:docId w15:val="{8F8194EA-D13A-44EB-BF11-B8C8DA13F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D75B73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75B73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2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450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ind w:right="780"/>
      <w:jc w:val="right"/>
    </w:pPr>
    <w:rPr>
      <w:rFonts w:ascii="Arial" w:eastAsia="Arial" w:hAnsi="Arial" w:cs="Arial"/>
      <w:color w:val="D75B73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30"/>
      <w:ind w:left="3350" w:right="390"/>
    </w:pPr>
    <w:rPr>
      <w:rFonts w:ascii="Arial" w:eastAsia="Arial" w:hAnsi="Arial" w:cs="Arial"/>
      <w:color w:val="D75B7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737</Words>
  <Characters>4426</Characters>
  <Application>Microsoft Office Word</Application>
  <DocSecurity>0</DocSecurity>
  <Lines>36</Lines>
  <Paragraphs>10</Paragraphs>
  <ScaleCrop>false</ScaleCrop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KM_C224e-20211222140936</dc:title>
  <dc:subject/>
  <dc:creator/>
  <cp:keywords/>
  <cp:lastModifiedBy>ABC</cp:lastModifiedBy>
  <cp:revision>2</cp:revision>
  <dcterms:created xsi:type="dcterms:W3CDTF">2021-12-23T08:27:00Z</dcterms:created>
  <dcterms:modified xsi:type="dcterms:W3CDTF">2021-12-23T08:28:00Z</dcterms:modified>
</cp:coreProperties>
</file>