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Gminna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47CC9">
        <w:rPr>
          <w:rFonts w:ascii="Times New Roman" w:eastAsia="Times New Roman" w:hAnsi="Times New Roman" w:cs="Times New Roman"/>
          <w:lang w:eastAsia="pl-PL"/>
        </w:rPr>
        <w:t>Komisja Rozwiązywania Problemów Alkoholowych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Przewodniczący Komisji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ex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officio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- za pośrednictwem Kierownika JST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Chcemy aby wszystko odbywało się jawnie i transparentnie - zatem prosimy o opublikowanie w BIP - wszystkich naszych pism i wniosków związanych z niniejszym postępowaniem - również związanych z Ustawą o dostępie do informacji publicznej - pomimo że obowiązek w tej mierze istnieje jedynie w ramach Ustawy o petycjach.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47CC9">
        <w:rPr>
          <w:rFonts w:ascii="Times New Roman" w:eastAsia="Times New Roman" w:hAnsi="Times New Roman" w:cs="Times New Roman"/>
          <w:lang w:eastAsia="pl-PL"/>
        </w:rPr>
        <w:t>W ten sposób namawiamy gminy do jawności i przejrzystości a co za tym idzie oszczędnego dokonywania wydatków w ramach powierzonych im przez Podatników Kwot.</w:t>
      </w:r>
    </w:p>
    <w:p w:rsidR="00F47CC9" w:rsidRPr="00F47CC9" w:rsidRDefault="00F47CC9" w:rsidP="0001163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Korespondując z wyżej wzmiankowanym - przy rozpatrywaniu petycji - prosimy o zachowanie zasad uczciwej konkurencji i oszczędnego dokonywania wydatków oraz jawności, przejrzystości w gospodarowaniu środkami publicznymi.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Przy ocenianiu aspektu związanego z uzasadnionym interesem publicznym pro publico bono - prosimy o wzięcie pod uwagę art. 225 KPA oraz art. 63 Konstytucji RP</w:t>
      </w:r>
    </w:p>
    <w:p w:rsidR="00F47CC9" w:rsidRPr="00F47CC9" w:rsidRDefault="00F47CC9" w:rsidP="0001163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Dane wnioskodawcy/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petycjodawcy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znajdują się poniżej oraz - w załączonym pliku sygnowanym podpisem elektronicznym, weryfikowanym kwalifikowanym certyfikatem - stosownie do dyspozycji Ustawy z dnia 5 września 2016 r. o usługach zaufania oraz identyfikacji elektronicznej (Dz.U.2016.1579 dnia 2016.09.29) oraz przepisów art. 4 ust. 5 Ustawy o petycjach (Dz.U.2018.870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. z dnia 2018.05.10) - Data dostarczenia - zgodna z dyspozycją art. 61 pkt. 2 Ustawy Kodeks Cywilny (Dz.U.2018.1025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>. z dnia 2018.05.29)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Adresatem Wniosku/Petycji* - jest Organ ujawniony w komparycji - jednoznacznie identyfikowalny za pośrednictwem adresu e-mail pod którym odebrano niniejszy wniosek/petycję. Rzeczony adres e-mail uzyskano z Biuletynu Informacji Publicznej Urzędu.</w:t>
      </w:r>
    </w:p>
    <w:p w:rsidR="00011630" w:rsidRDefault="00F47CC9" w:rsidP="0001163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            W razie wątpliwości co do trybu jaki należy zastosować do naszego pisma - wnosimy o bezwzględne zastosowanie dyspozycji art. 222 Ustawy z dnia 14 czerwca 1960 r. Kodeks postępowania administracyjnego </w:t>
      </w:r>
    </w:p>
    <w:p w:rsidR="00F47CC9" w:rsidRPr="00F47CC9" w:rsidRDefault="00F47CC9" w:rsidP="0001163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(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>. Dz. U. z 2020 r. poz. 256, 695)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Idee fixe wniosku/petycji*: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- Codziennie w Polsce umiera JEDEN młody człowiek z powodu przedawkowania dopalaczy i narkotyków - Wszyscy mamy obowiązek zrobić więcej w tej sprawie niż dotychczas - wykorzystajmy wszystkie nowoczesne media w tym Internet w walce z tą plagą !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            Tymczasem w naszym Kraju w Gminach - w odróżnieniu od prawie wszystkich tego typu Jednostek Samorządowych - na świecie - prawie wcale nie wykorzystuje się Mediów Elektronicznych do prewencji Nałogów - nawet stron WWW - nie mówiąc już o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social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mediach .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            </w:t>
      </w:r>
      <w:hyperlink r:id="rId4" w:tgtFrame="_blank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https://www.emcdda.europa.eu/attachements.cfm/att_240226_EN_TDAU15001ENN1.pdf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 xml:space="preserve">  &lt; </w:t>
      </w:r>
      <w:hyperlink r:id="rId5" w:tgtFrame="_blank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https://www.emcdda.europa.eu/attachements.cfm/att_240226_EN_TDAU15001ENN1.pdf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>&gt;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Do członków GKRPA i kierownika JST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Gminna Komisja Rozwiązywania Problemów Alkoholowych - jw.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Preambuła Wniosku: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01163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Celem tego materiału jest aby wyjaśnić Wam sposób argumentacji zawarty w naszych petycjach i pomóc zrobić coś niestandardowego - pro publico bo</w:t>
      </w:r>
      <w:r>
        <w:rPr>
          <w:rFonts w:ascii="Times New Roman" w:eastAsia="Times New Roman" w:hAnsi="Times New Roman" w:cs="Times New Roman"/>
          <w:lang w:eastAsia="pl-PL"/>
        </w:rPr>
        <w:t>no dla Dzieciaków w ramach zadań</w:t>
      </w:r>
      <w:r w:rsidRPr="00F47CC9">
        <w:rPr>
          <w:rFonts w:ascii="Times New Roman" w:eastAsia="Times New Roman" w:hAnsi="Times New Roman" w:cs="Times New Roman"/>
          <w:lang w:eastAsia="pl-PL"/>
        </w:rPr>
        <w:t xml:space="preserve"> określonych w art. 4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index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1 Ustawy o wychowa</w:t>
      </w:r>
      <w:r>
        <w:rPr>
          <w:rFonts w:ascii="Times New Roman" w:eastAsia="Times New Roman" w:hAnsi="Times New Roman" w:cs="Times New Roman"/>
          <w:lang w:eastAsia="pl-PL"/>
        </w:rPr>
        <w:t>n</w:t>
      </w:r>
      <w:r w:rsidRPr="00F47CC9">
        <w:rPr>
          <w:rFonts w:ascii="Times New Roman" w:eastAsia="Times New Roman" w:hAnsi="Times New Roman" w:cs="Times New Roman"/>
          <w:lang w:eastAsia="pl-PL"/>
        </w:rPr>
        <w:t>iu w trzeźwości (…)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Pomimo, że wszystkie GKRPA (ponad 2 tys. Gmin w Kraju) uw</w:t>
      </w:r>
      <w:r>
        <w:rPr>
          <w:rFonts w:ascii="Times New Roman" w:eastAsia="Times New Roman" w:hAnsi="Times New Roman" w:cs="Times New Roman"/>
          <w:lang w:eastAsia="pl-PL"/>
        </w:rPr>
        <w:t>a</w:t>
      </w:r>
      <w:r w:rsidRPr="00F47CC9">
        <w:rPr>
          <w:rFonts w:ascii="Times New Roman" w:eastAsia="Times New Roman" w:hAnsi="Times New Roman" w:cs="Times New Roman"/>
          <w:lang w:eastAsia="pl-PL"/>
        </w:rPr>
        <w:t xml:space="preserve">żają że idealnie wykonują swoje zadania i lepie nie można - codziennie w Polsce umiera JEDEN młody człowiek (często w małych gminach) z powodu </w:t>
      </w:r>
      <w:r>
        <w:rPr>
          <w:rFonts w:ascii="Times New Roman" w:eastAsia="Times New Roman" w:hAnsi="Times New Roman" w:cs="Times New Roman"/>
          <w:lang w:eastAsia="pl-PL"/>
        </w:rPr>
        <w:t>przedawkowania dopalaczy i nark</w:t>
      </w:r>
      <w:r w:rsidRPr="00F47CC9">
        <w:rPr>
          <w:rFonts w:ascii="Times New Roman" w:eastAsia="Times New Roman" w:hAnsi="Times New Roman" w:cs="Times New Roman"/>
          <w:lang w:eastAsia="pl-PL"/>
        </w:rPr>
        <w:t>otyków! - sic! )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Jak wynika z uprzednio przeprowadzanych wnioskowań do Gmin oraz z analizy budżetów Gmin/Miast - właściwe wykorzystanie środków jakimi dysponują Gminy w związku z uiszczaniem opłat przez Przedsiębiorców - wynikających z dyspozycji Ustawy z dnia 26 października 1982 r. o wychowaniu w trzeźwości i przeciwdziałaniu alkoholizmowi (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Dz.U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>. z 2018r. poz. 2137) - wydaje się niezwykle istotne z punktu widzenia uzasadnionego interesu społecznego - pro publico bono oraz z punktu widzenia realizacji celów określonych w Gminnych programach Profilaktyki i Rozwiązywania Problemów Alkoholowych oraz Przeciwdziałania Narkomanii.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Media donoszą w ostatnim czasie - o nabrzmiałej problematyce związanej z nadużywaniem przez Młodzież dopalaczy - a obowiązkowe zadania Gmin wynikające z dyspozycji powyżej wzmiankowanej Ustawy lub Ustawy z dnia 29 lipca 2005 r. o przeciwdziałaniu narkomanii (Dz. U. z 2019 r. poz. 852) - są (co wynika ze statystyk oraz materiałów medialnych) ciągle niezadowalające.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lastRenderedPageBreak/>
        <w:t>            To że sytuacja jest dramatyczna w tym obszarze można potwierdzić w materiałach prasowych vide: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            Materiał TVP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Info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>: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            </w:t>
      </w:r>
      <w:hyperlink r:id="rId6" w:tgtFrame="_blank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https://www.tvp.info/55640859/dobczyn-zwloki-nastolatek-w-lesie-byly-powieszone-na-wierzbie-nowe-informacje-wyniki-sekcji-zwlok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 xml:space="preserve">  &lt; </w:t>
      </w:r>
      <w:hyperlink r:id="rId7" w:tgtFrame="_blank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https://www.tvp.info/55640859/dobczyn-zwloki-nastolatek-w-lesie-byly-powieszone-na-wierzbie-nowe-informacje-wyniki-sekcji-zwlok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>&gt;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            </w:t>
      </w:r>
      <w:hyperlink r:id="rId8" w:tgtFrame="_blank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https://www.tvp.info/43314343/raport-o-dopalaczach-zgon-prawie-co-drugi-dzien-najczesciej-wsrod-mlodych-osob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 xml:space="preserve">  &lt; </w:t>
      </w:r>
      <w:hyperlink r:id="rId9" w:tgtFrame="_blank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https://www.tvp.info/43314343/raport-o-dopalaczach-zgon-prawie-co-drugi-dzien-najczesciej-wsrod-mlodych-osob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>&gt;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            lub: </w:t>
      </w:r>
      <w:hyperlink r:id="rId10" w:tgtFrame="_blank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https://www.tvp.info/42749852/cios-w-handlarzy-smierci-dopalacze-gangu-zabily-co-najmniej-cztery-osoby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 xml:space="preserve">  &lt; </w:t>
      </w:r>
      <w:hyperlink r:id="rId11" w:tgtFrame="_blank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https://www.tvp.info/42749852/cios-w-handlarzy-smierci-dopalacze-gangu-zabily-co-najmniej-cztery-osoby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>&gt;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            Dodatkowo - jak wynika z protokołów pokontrolnych NIK (sprzed kilku lat i dostępnych w sieci Internet - na stronach nik.gov.pl ) - w przeszłości NIK wielokrotnie (ad exemplum: 2012 i 2016 r. etc) - negatywnie oceniała wywiązywanie się z Gmin z wykorzystania środków na realizację Gminnych Programów Profilaktyki i Rozwiązywania Problemów Alkoholowych oraz Gminnych Programów Przeciwdziałania Narkomanii - vide: Protokoły pokontrolne - Nr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ewid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. 27/2013/P/12/165/LPO lub LWA-4114-05-09/2011 - I/11/005 - dostępne na stronach Internetowych www.nik.gov.pl &lt; "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rel="noopener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"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target="_blank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"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data-mce-href="http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://www.nik.gov.pl/"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rel="noopener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"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target="_blank"&gt;http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>://www.nik.gov.pl/&gt;"&gt;http://www.nik.gov.pl/&gt;  </w:t>
      </w:r>
      <w:hyperlink r:id="rId12" w:tgtFrame="_blank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http://www.nik.gov.pl/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 xml:space="preserve">  .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            Aby zobrazować - skandaliczną sytuację w tym obszarze załączamy -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in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fine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niniejszego wniosku - jeden ze wzmiankowanych protokołów NIK, z którego wynika, że niektóre Gminy wykorzystują jedynie cześć z dochodów z opłat za zezwolenia na realizację zadań określonych w art. 18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index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2 rzeczonej Ustawy - sic !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Nie może być na to zgody społecznej - gdyż jak wynika z powyżej zamieszczonych materiałów TVP INFO - prawie co drugi dzień umiera młody człowiek z powodu zażywania dopalaczy (nie biorąc pod uwagę innych środków odurzających).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Dlatego bierność Gmin (operacyjnie bierność GKRPA) w tym obszarze przejawiająca się niewykorzystaniem środków przeznaczonych przez Ustawodawcę na walkę z tego rodzaju patologiami - wydaje się całkowicie niezrozumiała i powinna być - w mniemaniu wnioskodawcy - piętnowana przez Organy Gmin (Wójtów/Burmistrzów/Prezydentów) oraz podlegać kontroli społecznej - wszystkich podmiotów i podatników posiadających jakiekolwiek informacje w tej mierze.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Dobrym narzędziem w tej mierze dla Obywateli i Podmiotów - jest Ustawa o petycjach czy ustawa o dostępie do informacji publicznej.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Ze względu na ważkość tematyki - wszyscy mamy nie tylko prawo ale i obowiązek pytać i próbować usprawniać rzeczony obszar funkcjonowania Gmin i skutki wykonywania powierzonych im zadań.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            Jak wynika z odpowiedzi - jakie uzyskaliśmy w 2019 r. - pytając niektóre Gminy w trybie Ustawy z dnia 6 września 2001 r. o dostępie do informacji publicznej (Dz.U.2018.1330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>. z 2018.07.10) - o niewykorzystywane środki z tytułu wzmiankowanych budżetów - sytuacja wcale nie ulega poprawie w stosunku do okresu jaki obejmuje poniżej załączony protokół pokontrolny NIK - sprzed paru lat, z którego wynika że ad exemplum - Miasto Będzin w poprzednich latach nie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47CC9">
        <w:rPr>
          <w:rFonts w:ascii="Times New Roman" w:eastAsia="Times New Roman" w:hAnsi="Times New Roman" w:cs="Times New Roman"/>
          <w:lang w:eastAsia="pl-PL"/>
        </w:rPr>
        <w:t>wykorzystało ponad 600 tys. środków na walkę z patologiami - co więcej przeznaczyło te środki na inne cele - sic!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Od tamtej pory niewiele się zmieniło.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         </w:t>
      </w:r>
      <w:r w:rsidRPr="00F47CC9">
        <w:rPr>
          <w:rFonts w:ascii="Times New Roman" w:eastAsia="Times New Roman" w:hAnsi="Times New Roman" w:cs="Times New Roman"/>
          <w:lang w:eastAsia="pl-PL"/>
        </w:rPr>
        <w:t>Środki, które zgodnie z ustawą powinny być wydatkowane na walkę z uzależnieniami wśród dzieci i młodzieży są w Gminach częstokroć traktowane po macoszemu - czyli niewykorzystywane.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         </w:t>
      </w:r>
      <w:r w:rsidRPr="00F47CC9">
        <w:rPr>
          <w:rFonts w:ascii="Times New Roman" w:eastAsia="Times New Roman" w:hAnsi="Times New Roman" w:cs="Times New Roman"/>
          <w:lang w:eastAsia="pl-PL"/>
        </w:rPr>
        <w:t>W gminach - sytuacja tego typu nie jest jednostkowa ale wręcz permanentna. Zdaniem wnioskodawcy jeśli niewykorzystany budżet to kwota przekraczająca 30% wzwyż - może to świadczyć o bezczynności Wójtów/Burmistrzów/Prezydentów w tym obszarze, bagatelizowaniu problematyki lub wręcz o niedbalstwie.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            In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fine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niniejszego wniosku - załączamy odpowiedź z sygnowaną przez Burmistrza Gminy Torzym z której wynika, że w 2018 r. Gmina nie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47CC9">
        <w:rPr>
          <w:rFonts w:ascii="Times New Roman" w:eastAsia="Times New Roman" w:hAnsi="Times New Roman" w:cs="Times New Roman"/>
          <w:lang w:eastAsia="pl-PL"/>
        </w:rPr>
        <w:t>wykorzystała (przesunęła na kolejny rok) prawie 50% wzmiankowanego budżetu - kwantyfikując - jest to kwota ok. 155 tys.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          </w:t>
      </w:r>
      <w:r w:rsidRPr="00F47CC9">
        <w:rPr>
          <w:rFonts w:ascii="Times New Roman" w:eastAsia="Times New Roman" w:hAnsi="Times New Roman" w:cs="Times New Roman"/>
          <w:lang w:eastAsia="pl-PL"/>
        </w:rPr>
        <w:t xml:space="preserve">Trudno to zrozumieć, kiedy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wg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. ekspertów koszty alkoholizmu i narkomanii dla Gospodarki,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ZUS’u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etc - sięgają kilkunastu miliardów złotych rocznie - nie wspominając o niewymiernych kosztach jakie ponosi RODZINA, Młodzież, sy</w:t>
      </w:r>
      <w:r>
        <w:rPr>
          <w:rFonts w:ascii="Times New Roman" w:eastAsia="Times New Roman" w:hAnsi="Times New Roman" w:cs="Times New Roman"/>
          <w:lang w:eastAsia="pl-PL"/>
        </w:rPr>
        <w:t>s</w:t>
      </w:r>
      <w:r w:rsidRPr="00F47CC9">
        <w:rPr>
          <w:rFonts w:ascii="Times New Roman" w:eastAsia="Times New Roman" w:hAnsi="Times New Roman" w:cs="Times New Roman"/>
          <w:lang w:eastAsia="pl-PL"/>
        </w:rPr>
        <w:t>tem edukacji, system ochrony zdrowia, etc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         </w:t>
      </w:r>
      <w:r w:rsidRPr="00F47CC9">
        <w:rPr>
          <w:rFonts w:ascii="Times New Roman" w:eastAsia="Times New Roman" w:hAnsi="Times New Roman" w:cs="Times New Roman"/>
          <w:lang w:eastAsia="pl-PL"/>
        </w:rPr>
        <w:t>Poniżej załączmy odpowiedź Wójta Gminy Biskupiec - gdzie przedmiotowa niewykorzystana kwota - przekracza 75% - sic !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Wszystkie te sprawy możemy omawiać werbalnie - dzieląc się naszym doświa</w:t>
      </w:r>
      <w:r>
        <w:rPr>
          <w:rFonts w:ascii="Times New Roman" w:eastAsia="Times New Roman" w:hAnsi="Times New Roman" w:cs="Times New Roman"/>
          <w:lang w:eastAsia="pl-PL"/>
        </w:rPr>
        <w:t>d</w:t>
      </w:r>
      <w:r w:rsidRPr="00F47CC9">
        <w:rPr>
          <w:rFonts w:ascii="Times New Roman" w:eastAsia="Times New Roman" w:hAnsi="Times New Roman" w:cs="Times New Roman"/>
          <w:lang w:eastAsia="pl-PL"/>
        </w:rPr>
        <w:t>czeniem - pro publico bono - 608-318-418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lastRenderedPageBreak/>
        <w:t>            Tymczasem, jak wynika z wzmiankowanych protokołów - roczne łączne dochody samorządów - z wnoszonych przez Przedsiębiorców opłat za sprzedaż alkoholu - oscylują w granicach 700 mln zł i statystyczny Przedsiębiorca nie może zrozumieć, że środki te nie są w całości zagospodarowywane przez Gminy !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Istnieje przecież cały wachlarz - nowoczesnych technologii informatycznych, które można wykorzystywać na polu walki z patologiami dotyczącymi alkoholizmu i narkomanii.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Młodzież szukająca lokalnej pomocy w tych obszarach zazwyczaj nie znajduje żadnych przydatnych informacji - w skali mikro (w obszarze miejscowo właściwym dla terenu Gminy).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Jeśli już Gmina w jakieś części wykorzystuje powierzony jej przez Podatnika budżet w zakresie prewencji - często są to pogadanki, pogadanki, pogadanki (..)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W załączeniu autentyczna opinia ucznia Szkoły powszechnej - 16 letniego Jakuba S. - o tym jak Dzieciaki traktują rzeczone standardowe pogadanki uświadamiające...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Tymczasem obecnie większość informacji - Młodzież czerpie z Internetu i mediów funkcjonujących w tym obszarze i dla młodych osób jest to - jak powszechnie wiadomo - podstawowy środek komunikacji.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            Brak prewencji w tym obszarze - wynika może z tego powodu, że żaden podmiot nie składał jeszcze petycji w tym względzie. Mamy nadzieję, że nasza petycja po opublikowaniu nie będzie jedyna i przyłączą się do niej Fundacje oraz inne podmioty, które w związku z art. 241 KPA - mają obowiązek sygnalizować problematykę ex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professo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>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Jeśli istnieje taka możliwość autorzy petycji mogą przyjechać na kilkuminutową prezentację - na obrady wzmiankowanej komisji - scilicet -GKRPA - tak aby werbalnie zyskać percepcję w zakresie przedłożonej petycji.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Zdaniem Wnioskodawcy: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Dzięki działaniom sfer Rządowych (w skali makro) w ostatnim czasie sytuacja ulega znacznej poprawie, jednakże bez szybkiej sanacji tego obszaru (w skali mikro) również w Gminach - proces ten będzie w dalszym ciągu przebiegał zbyt wolno - bez namacalnych sukcesów w postaci znaczącej poprawy w wydatkowaniu środków publicznych w tym obszarze.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W mniemaniu Wnioskodawcy - działania sfer Rządowych jak i Agencji PARPA są konkretne - odpowiadające potrzebom i przynoszą efekty.</w:t>
      </w:r>
    </w:p>
    <w:p w:rsidR="00F47CC9" w:rsidRPr="00F47CC9" w:rsidRDefault="00F47CC9" w:rsidP="0001163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- natomiast w Gminach jest jeszcze wiele do zrobienia w tej mierze.</w:t>
      </w:r>
    </w:p>
    <w:p w:rsidR="00011630" w:rsidRDefault="00011630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W związku z powyższym: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I Wniosek - w trybie Ustawy o dostępie do inf.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publ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>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            Na mocy art. 61 Konstytucji RP, w trybie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inter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alia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: art. 6 ust. 1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pkt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3 lit. f, art. 6 ust. 1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pkt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5 Ustawy z dnia 6 września o dostępie do informacji publicznej (Dz.U.2018.1330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>. z 2018.07.10) - wnosimy o udzielnie informacji publicznej w przedmiocie stanu faktycznego na ternie miejscowo właściwym dla Gminy (Adresata wniosku) 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§1.1) Wnosimy o podanie kwoty jakiej gmina nie wykorzystała - w 2020 z tytułu przewidzianych na 2020 rok środków - w ramach dyspozycji wynikających z zadań i budżetów określonych w ramach Ustawy z dnia 26 października 1982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r.o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wychowaniu w trzeźwości i przeciwdziałaniu alkoholizmowi (Dz.U.2016.487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>. z dnia 2016.04.12) (scilicet: kolokwialnie zwane przez decydentów - KORKOWE 2020)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§1.2) Na mocy art. 61 Konstytucji RP, w trybie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inter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alia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: art. 6 ust. 1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pkt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3 lit. f, art. 6 ust. 1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pkt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5 Ustawy z dnia 6 września o dostępie do informacji publicznej (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. Dz. U. z 2020 r. poz. 2176) - wnosimy o udzielenie informacji publicznej w przedmiocie jaka kwota została niewydatkowana - na dzień złożenia niniejszego wniosku - z powierzonych przez Przedsiębiorców (konsumentów) w 2021r. środków - wynikających z zadań i budżetów określonych w ramach dyspozycji Ustawy z dnia 26 października 1982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r.o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wychowaniu w trzeźwości i przeciwdziałaniu alkoholizmowi (Dz.U.2016.487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>. z dnia 2016.04.12)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01163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§1.3) W trybie wyżej wzmiankowanych przepisów - wnosimy o podanie szczegółowej struktury rzeczonych planowanych/zrealizowanych - wydatków za 2021 r. - najlepiej w formie tabeli - tak jak to otrzymujemy z innych gmin. Dla ułatwienia aby nie absorbować czasu Urzędników - może być to tabela zawierająca 10 najważniejszych (najwyżej kosztowo kwantyfikowanych) pozycji.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Szerzej - wzmiankowana problematyka została opisana w cytowanych protokołach NIK -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wg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. rzeczonych protokołów - jedynie w skontrolowanych gminach niewykorzystana kwota w tym względzie wyniosła łącznie ponad 14 mln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pln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- sic! - z punktu widzenia interesu społecznego - zdaniem wnioskodawcy sytuacja taka jest skandaliczna i świadczy o rażącym lekceważeniu przez niektóre Gminy rzeczonej problematyki.</w:t>
      </w:r>
    </w:p>
    <w:p w:rsidR="00F47CC9" w:rsidRPr="00F47CC9" w:rsidRDefault="00011630" w:rsidP="0001163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lastRenderedPageBreak/>
        <w:t> </w:t>
      </w:r>
      <w:r w:rsidR="00F47CC9" w:rsidRPr="00F47CC9">
        <w:rPr>
          <w:rFonts w:ascii="Times New Roman" w:eastAsia="Times New Roman" w:hAnsi="Times New Roman" w:cs="Times New Roman"/>
          <w:lang w:eastAsia="pl-PL"/>
        </w:rPr>
        <w:t>Dane te wydają się niezbędne do działania każdej Gminnej Komisji Rozwiązywania Problemów Alkoholowych - dlatego prosimy o merytoryczne podejście do przedłożonej problematyki oraz ewentualne pozyskanie wnioskowanych danych.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Ponownie zwracamy uwagę na materiały medialne: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            Materiał TVP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Info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: </w:t>
      </w:r>
      <w:hyperlink r:id="rId13" w:tgtFrame="_blank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https://www.tvp.info/43314343/raport-o-dopalaczach-zgon-prawie-co-drugi-dzien-najczesciej-wsrod-mlodych-osob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 xml:space="preserve">  &lt; </w:t>
      </w:r>
      <w:hyperlink r:id="rId14" w:tgtFrame="_blank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https://www.tvp.info/43314343/raport-o-dopalaczach-zgon-prawie-co-drugi-dzien-najczesciej-wsrod-mlodych-osob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>&gt;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            lub: </w:t>
      </w:r>
      <w:hyperlink r:id="rId15" w:tgtFrame="_blank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https://www.tvp.info/42749852/cios-w-handlarzy-smierci-dopalacze-gangu-zabily-co-najmniej-cztery-osoby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 xml:space="preserve">  &lt; </w:t>
      </w:r>
      <w:hyperlink r:id="rId16" w:tgtFrame="_blank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https://www.tvp.info/42749852/cios-w-handlarzy-smierci-dopalacze-gangu-zabily-co-najmniej-cztery-osoby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>&gt;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- nie powinny one zostawić żadnych wątpliwości co do tego, że uzyskanie informacji przez nas wnioskowanej i jej publikacja na naszych portalach oraz analiza danych w skali makro pod kątem wykorzystania narzędzi informatycznych w szkołach (inteligentnego oprogramowania) - pozwalającego na walkę z problematyką patologii w tym obszarze - jest szczególnie istotna z punktu widzenia interesu publicznego - co koresponduje bezpośrednio z art. 3 ust. 1 pkt. 1 Ustawy z dnia 6 września 2001 r. o dostępie do informacji publicznej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Zatem - zdaniem Wnioskodawcy - powyższe pytania o informację publiczną - wydają się szczególnie istotne z punktu widzenia interesu publicznego pro publico bono - nawiązując do art. 3 ust. 1 pkt. 1 Ustawy z dnia 6 września o dostępie do informacji publicznej (Dz.U.2018.1330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>. z 2018.07.10) - gdyż ten obszar wydatkowania pieniędzy podatników - wydaje się (jak wynika z uprzednio uzyskanych przez nas odpowiedzi) - szczególnie wymagać - wdrożenia procedur optymalizacji finansowej - tak aby w interesie publicznym wykorzystać potencjał nowoczesnych narzędzi informatycznych w walce z patologiami panującymi wśród Uczniów Szkół Podstawowych i ponadpodstawowych.</w:t>
      </w:r>
    </w:p>
    <w:p w:rsidR="00011630" w:rsidRDefault="00011630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01163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§1.4) Jaką samoocenę wystawi sobie gmina w zakresie prow</w:t>
      </w:r>
      <w:r w:rsidR="00011630">
        <w:rPr>
          <w:rFonts w:ascii="Times New Roman" w:eastAsia="Times New Roman" w:hAnsi="Times New Roman" w:cs="Times New Roman"/>
          <w:lang w:eastAsia="pl-PL"/>
        </w:rPr>
        <w:t>adzenia polityki prewencji w cią</w:t>
      </w:r>
      <w:r w:rsidRPr="00F47CC9">
        <w:rPr>
          <w:rFonts w:ascii="Times New Roman" w:eastAsia="Times New Roman" w:hAnsi="Times New Roman" w:cs="Times New Roman"/>
          <w:lang w:eastAsia="pl-PL"/>
        </w:rPr>
        <w:t>gu 2 ostatnich lat - na bazie powierzonych przez Podatnika środków - scilicet - korkowe - opłaty za sprzedaż alkoholu, etc) proszę dokonać samooceny w skali od 0 do 10 przy czym 10 to najwyższa samoocena.</w:t>
      </w:r>
    </w:p>
    <w:p w:rsidR="00011630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            </w:t>
      </w:r>
    </w:p>
    <w:p w:rsidR="00F47CC9" w:rsidRPr="00F47CC9" w:rsidRDefault="00F47CC9" w:rsidP="0001163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Pozwalamy sobie zasugerować, że fakultatywnie przedmiotową samoocenę może dokonać Kierownik JST w ramach dyspozycji w trybie art. 27 Ustawy z dnia 21 listopada 2008 r. o pracownikach samorządowych (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>. Dz. U. z 2019 r. poz. 1282.) Wnioskodawca ma na myśli ocenę - ad exemplum - działań Przewodniczącego GKRP lub całego organu.</w:t>
      </w:r>
    </w:p>
    <w:p w:rsidR="00011630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            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Wnioskodawca jest świadomy że samoocena może nie być uznawana (przez niektóre Gminy) za informację publiczną - prosimy o nieunikanie odpowiedzi również na przedmiotowe pytanie.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011630" w:rsidP="0001163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 </w:t>
      </w:r>
      <w:r w:rsidR="00F47CC9" w:rsidRPr="00F47CC9">
        <w:rPr>
          <w:rFonts w:ascii="Times New Roman" w:eastAsia="Times New Roman" w:hAnsi="Times New Roman" w:cs="Times New Roman"/>
          <w:lang w:eastAsia="pl-PL"/>
        </w:rPr>
        <w:t>Zdalna obsługa Interesantów - w tym wykonywanie zadań związanych z prewencją alkoholową w sposób Interaktywny (za pomocą Internetu) - staje się szczególnie istotna w czasie epidemii - i w naszym mniemaniu wpisuje się sugestie zawarte w Ustawie z dnia 2 marca 2020 r. o szczególnych rozwiązaniach związanych z zapobieganiem, przeciwdziałaniem i zwalczaniem COVID-19, innych chorób zakaźnych oraz wywołanych nimi sytuacji kryzysowych (Dz. U. 2020 poz. 374)</w:t>
      </w:r>
    </w:p>
    <w:p w:rsidR="00F47CC9" w:rsidRPr="00F47CC9" w:rsidRDefault="00F47CC9" w:rsidP="0001163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Notabene właśnie osoby osłabione nałogami wydają się w obecnym czasie szczególnie narażone na kontakt osobisty i gros tych kontaktów wraz z przepływem informacji prewencyjnych - może przejmować kanał związany z Internetem.</w:t>
      </w:r>
    </w:p>
    <w:p w:rsidR="00F47CC9" w:rsidRPr="00F47CC9" w:rsidRDefault="00F47CC9" w:rsidP="0001163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01163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II - Petycja Odrębna</w:t>
      </w:r>
    </w:p>
    <w:p w:rsidR="00F47CC9" w:rsidRPr="00F47CC9" w:rsidRDefault="00F47CC9" w:rsidP="0001163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            Procedowana w trybie Ustawy o petycjach (Dz.U.2018.870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. z dnia 2018.05.10) - dla ułatwienia i zmniejszenia biurokracji dołączamy ją do niniejszego wniosku. Nie jest to łączenie trybów - zatem prosimy kwalifikować niniejsze pisma jako dwa środki prawne - wniosek oznaczoną - I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i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odrębną petycję oznaczoną II - vide - J. Borkowski (w:) B. Adamiak, J. Borkowski, Kodeks postępowania…, s. 668; por. także art. 12 ust. 1 komentowanej ustawy - dostępne w sieci Internet.</w:t>
      </w:r>
    </w:p>
    <w:p w:rsidR="00F47CC9" w:rsidRPr="00F47CC9" w:rsidRDefault="00F47CC9" w:rsidP="0001163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            Dla odseparowania od wniosku -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petycjodawca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- postulaty związane z petycją - numeruje nowymi oznaczeniami od §2, etc</w:t>
      </w:r>
    </w:p>
    <w:p w:rsidR="00F47CC9" w:rsidRPr="00F47CC9" w:rsidRDefault="00F47CC9" w:rsidP="0001163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01163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Preambuła petycji:</w:t>
      </w:r>
    </w:p>
    <w:p w:rsidR="00F47CC9" w:rsidRPr="00F47CC9" w:rsidRDefault="00F47CC9" w:rsidP="0001163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01163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W kontekście alarmujących informacji dotyczących plagi związanej z nadużywaniem alkoholu i środków odurzających wśród młodzieży - vide: </w:t>
      </w:r>
      <w:hyperlink r:id="rId17" w:tgtFrame="_blank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https://www.tvp.info/43314343/raport-o-dopalaczach-zgon-prawie-co-</w:t>
        </w:r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lastRenderedPageBreak/>
          <w:t>drugi-dzien-najczesciej-wsrod-mlodych-osob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 xml:space="preserve">  &lt; </w:t>
      </w:r>
      <w:hyperlink r:id="rId18" w:tgtFrame="_blank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https://www.tvp.info/43314343/raport-o-dopalaczach-zgon-prawie-co-drugi-dzien-najczesciej-wsrod-mlodych-osob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>&gt;</w:t>
      </w:r>
    </w:p>
    <w:p w:rsidR="00011630" w:rsidRDefault="00011630" w:rsidP="0001163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01163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§2) Wnosimy aby Kierownik JST wraz z Gminną Komisją Rozwiązywania Problemów Alkoholowych - wzorem takich państw jak Niemcy czy Francja zaplanowali jak najszybsze wykorzystanie narzędzi związanych z Internetem i Informatyzacją - sensu largo do wykorzystania w ramach działań Gminy, Szkół,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OPS’ów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właściwych miejscowo dla terenu Gminy.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Wykorzystanie mediów związanych z informatyzacją i Internetem w tym w szczególności mediów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społecznościowych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- zdaniem wnioskodawcy powinno mieć miejsce szczególnie na polu informacji i edukacji dostępnej na stronach WWW i BIP - szczególnie o charakterze - prewencji, profilaktyki i dostarczania informacji - młodym osobom - poszukującym jej w zakresie lokalnym.</w:t>
      </w:r>
    </w:p>
    <w:p w:rsidR="00F47CC9" w:rsidRPr="00F47CC9" w:rsidRDefault="00F47CC9" w:rsidP="00F47C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W USA strony WWW tego typu prowadzone przez Hrabstwa - zawierają nawet porady psychologów -czy operują per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analogiam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(jak to czyni się na paczkach papierosów) - obrazkami odstraszającymi - pokazującymi na przykładach - skutki stosowania używek, etc ponadto Czaty, grupy dyskusyjne i wszelkiego rodzaju nowoczesne narzędzia, których celem jest zyskanie percepcji u Dzieci i Młodzieży - tak aby dając pomysły na spędzenie wolnego czasu - odciągnąć Dzieci i Młodzież zarówno od sięgania po dopalacze i używki . Jednocześnie są to strony WWW nie absorbujące permanentnej uwagi odbiorców - mają głównie za zadanie tyko sygnalizować, odstraszać i chwilowo zyskiwać percepcję.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            W Polsce na stronach WWW Gmin - jest to często jedynie - zakładka typu - “Sprawozdanie Gminnej Komisji Rozwiązywania Problemów Alkoholowych” - ciekawe czy z braku innych informacji Młody człowiek - zamiast ulegać pokusom stosowania używek - “zatopi się" w studiowanie sprawozdania Komisji - sic! - ad exemplum: </w:t>
      </w:r>
      <w:hyperlink r:id="rId19" w:tgtFrame="_blank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http://www.urzadgminy.gniezno.pl/portal/gkrpa.html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 xml:space="preserve">  &lt; </w:t>
      </w:r>
      <w:hyperlink r:id="rId20" w:tgtFrame="_blank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http://www.urzadgminy.gniezno.pl/portal/gkrpa.html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>&gt;  - vide - odnośnik w dole prawego Menu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Ad exemplum - Krajowe Strony WWW z funkcją odstraszania od nałogów z wizerunkami public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domain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to www.abramow.samorzad.pl &lt; </w:t>
      </w:r>
      <w:hyperlink r:id="rId21" w:tgtFrame="_blank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http://www.abramow.samorzad.pl/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 xml:space="preserve">&gt;  www.adamow-luk.samorzad.pl &lt; </w:t>
      </w:r>
      <w:hyperlink r:id="rId22" w:tgtFrame="_blank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http://www.adamow-luk.samorzad.pl/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>&gt;  etc (operowanie porównaniem twarzy osób sprzed popadnięciem w nałóg i w trakcie - wizerunki osób zmarłych, etc)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Na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zagraniczych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serwisach Hrabstw/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Count’ów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- można zobaczyć jak wyglądają zaawansowane serwisy tego typu (odrębne od stron Jednostek Terytorialnych i jedynie dedykowane prewencji) - notabene w naszym Kraju (jak wynika z odpowiedzi uzyskanych w poprzednich latach) nawet 1% budżetów Komisji nie jest przeznaczane na cele związane z prewencją w nowoczesnych mediach - tam ponad 50%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Osnowa Petycji: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Jeśli w tym roku rzeczone środki nie zostały jeszcze w całości wykorzystane - wnosimy aby zaplanować odpowiednie działania - jeszcze w tym roku - ad hoc.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Zatem zgodnie z art. 2 ust. 2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pkt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1 i 2 Ustawy o petycjach w związku z art. 28 KPA i 241 KPA –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petycjodawca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posiada interes prawny w tym obszarze – chcąc łączyć uzasadniony interes społeczny pro publico bono z interesem ekonomicznym podmiotu prowadzącego działalność gospodarczą w tym obszarze już ponad prawie 25 lat. Oczywiście chcemy poddać się wszelkim zasadom uczciwej konkurencji w ramach zasad wydatkowania środków publicznych przez Jednostkę Administracji Publicznej - w zakresie celów – w tym akurat przypadku – określonych w art. 4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index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1 Ustawy z dnia 26 października 1982 r. o wychowaniu w trzeźwości i przeciwdziałaniu alkoholizmowi (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Dz.U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>. z 2018r. poz. 2137)</w:t>
      </w:r>
    </w:p>
    <w:p w:rsidR="00011630" w:rsidRDefault="00F47CC9" w:rsidP="0001163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Podkreślamy ponownie, że długofalowym celem wykorzystania rzeczonych narzędzi - scilicet stron WWW - byłaby pomoc młodym ludziom i Rodzicom poszukującym tego typu informacji w Internecie również w zakresie zwiększania świadomości dotyczącej problematyki związanej z przeciwdziałaniem patologiom wśród dzieci i młodzieży szkolnej w związku z nadużywaniem alkoholu i środków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odurzających.</w:t>
      </w:r>
      <w:proofErr w:type="spellEnd"/>
    </w:p>
    <w:p w:rsidR="00F47CC9" w:rsidRPr="00F47CC9" w:rsidRDefault="00F47CC9" w:rsidP="0001163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Wnioskodawca/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petycjodawca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- wykonuje tego typu usługi związane z utworzeniem strony WWW - zgodnej z wymogami Rozporządzenia Rady Ministrów z dnia 12 kwietnia 2012 r. w sprawie Krajowych Ram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Interoperacyjności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, minimalnych wymagań dla rejestrów publicznych i wymiany informacji w postaci elektronicznej oraz minimalnych wymagań dla systemów teleinformatycznych (Dz.U.2017.2247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>. z 2017.12.05)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Serwis tego typu może jednocześnie promować działania związane ze zdrowym stylem życia - scilicet - informować o szkodliwości stosowania używek czy nadużywania alkoholu - a także informować o zadaniach i zakresie kompetencji Ośrodka Pomocy Społecznej.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011630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lastRenderedPageBreak/>
        <w:t> </w:t>
      </w:r>
      <w:r w:rsidR="00F47CC9" w:rsidRPr="00F47CC9">
        <w:rPr>
          <w:rFonts w:ascii="Times New Roman" w:eastAsia="Times New Roman" w:hAnsi="Times New Roman" w:cs="Times New Roman"/>
          <w:lang w:eastAsia="pl-PL"/>
        </w:rPr>
        <w:t xml:space="preserve">Ceny na rynku - oscylują od 1000 </w:t>
      </w:r>
      <w:proofErr w:type="spellStart"/>
      <w:r w:rsidR="00F47CC9" w:rsidRPr="00F47CC9">
        <w:rPr>
          <w:rFonts w:ascii="Times New Roman" w:eastAsia="Times New Roman" w:hAnsi="Times New Roman" w:cs="Times New Roman"/>
          <w:lang w:eastAsia="pl-PL"/>
        </w:rPr>
        <w:t>pln</w:t>
      </w:r>
      <w:proofErr w:type="spellEnd"/>
      <w:r w:rsidR="00F47CC9" w:rsidRPr="00F47CC9">
        <w:rPr>
          <w:rFonts w:ascii="Times New Roman" w:eastAsia="Times New Roman" w:hAnsi="Times New Roman" w:cs="Times New Roman"/>
          <w:lang w:eastAsia="pl-PL"/>
        </w:rPr>
        <w:t xml:space="preserve"> do 5000 </w:t>
      </w:r>
      <w:proofErr w:type="spellStart"/>
      <w:r w:rsidR="00F47CC9" w:rsidRPr="00F47CC9">
        <w:rPr>
          <w:rFonts w:ascii="Times New Roman" w:eastAsia="Times New Roman" w:hAnsi="Times New Roman" w:cs="Times New Roman"/>
          <w:lang w:eastAsia="pl-PL"/>
        </w:rPr>
        <w:t>pln</w:t>
      </w:r>
      <w:proofErr w:type="spellEnd"/>
      <w:r w:rsidR="00F47CC9" w:rsidRPr="00F47CC9">
        <w:rPr>
          <w:rFonts w:ascii="Times New Roman" w:eastAsia="Times New Roman" w:hAnsi="Times New Roman" w:cs="Times New Roman"/>
          <w:lang w:eastAsia="pl-PL"/>
        </w:rPr>
        <w:t xml:space="preserve"> + </w:t>
      </w:r>
      <w:proofErr w:type="spellStart"/>
      <w:r w:rsidR="00F47CC9" w:rsidRPr="00F47CC9">
        <w:rPr>
          <w:rFonts w:ascii="Times New Roman" w:eastAsia="Times New Roman" w:hAnsi="Times New Roman" w:cs="Times New Roman"/>
          <w:lang w:eastAsia="pl-PL"/>
        </w:rPr>
        <w:t>vat</w:t>
      </w:r>
      <w:proofErr w:type="spellEnd"/>
      <w:r w:rsidR="00F47CC9" w:rsidRPr="00F47CC9">
        <w:rPr>
          <w:rFonts w:ascii="Times New Roman" w:eastAsia="Times New Roman" w:hAnsi="Times New Roman" w:cs="Times New Roman"/>
          <w:lang w:eastAsia="pl-PL"/>
        </w:rPr>
        <w:t xml:space="preserve"> - za utworzenie (opłata jednorazowa)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 Jeśli - postępowanie jest prowadzone uczciwie z uwzględnieniem zasad uczciwej konkurencji i z poszanowaniem zasad maksymalizacji oszczędności środków publicznych - Wnioskodawca często wygrywa i wykonuje rzeczoną usługę. W przypadku tego typu zleceń jesteśmy w stanie wykonać rzeczone zlecenie w kwocie 1000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pln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+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vat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produkcja jednorazowo i utrzymanie 1000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pln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- rocznie (w pewnych przypadkach rezygnujemy nawet z wynagrodzenia za utrzymanie)</w:t>
      </w:r>
    </w:p>
    <w:p w:rsidR="00011630" w:rsidRDefault="00F47CC9" w:rsidP="0001163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Przy tego typu kwotach - chcemy i musimy oczywiście podać się zasadom uczciwej konkurencji – w naszym mniemaniu może być to tryb negocjacji cen - scilicet - w związku z art. 54 i 55 Ustawy Prawo zamówień publicznych (D</w:t>
      </w:r>
      <w:r w:rsidR="00011630">
        <w:rPr>
          <w:rFonts w:ascii="Times New Roman" w:eastAsia="Times New Roman" w:hAnsi="Times New Roman" w:cs="Times New Roman"/>
          <w:lang w:eastAsia="pl-PL"/>
        </w:rPr>
        <w:t xml:space="preserve">z.U.2018.1986 </w:t>
      </w:r>
      <w:proofErr w:type="spellStart"/>
      <w:r w:rsidR="00011630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="00011630">
        <w:rPr>
          <w:rFonts w:ascii="Times New Roman" w:eastAsia="Times New Roman" w:hAnsi="Times New Roman" w:cs="Times New Roman"/>
          <w:lang w:eastAsia="pl-PL"/>
        </w:rPr>
        <w:t>. z 2018.10.16)</w:t>
      </w:r>
    </w:p>
    <w:p w:rsidR="00F47CC9" w:rsidRPr="00F47CC9" w:rsidRDefault="00F47CC9" w:rsidP="0001163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Tego typu działania muszą być zawsze jawne, transparentne oraz prowadzone w pełni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lege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artis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z uwzględnieniem zasad uczciwej konkurencji.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Sugerujemy tylko aby tworzenie tak prostych stron - nie skończyło się zamówieniem - ad absurdum - TAK JAK zrobił to jeden SĄDÓW naszym kraju (o polskich Sędziach krążą już anegdoty) - wydatkując - absurdalną kwotę pół miliona złotych - za prostą stronę WWW - i łamiąc jeszcze do tego przepisy prawa - sic ! - o czym czytać można w materiałach prasowych i instytucji kontrolnych - vide: </w:t>
      </w:r>
      <w:hyperlink r:id="rId23" w:tgtFrame="_blank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https://www.gazetaprawna.pl/artykuly/719574,sad-najwyzszy-zamowil-droga-strone-internetowa-bez-przetargu-zlamal-prawo.html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 xml:space="preserve">  &lt; </w:t>
      </w:r>
      <w:hyperlink r:id="rId24" w:tgtFrame="_blank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https://www.gazetaprawna.pl/artykuly/719574,sad-najwyzszy-zamowil-droga-strone-internetowa-bez-przetargu-zlamal-prawo.html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>&gt;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Podajemy ten przykład dlatego, że jesteśmy uczuleni - ex katedra na przykłady - kiedy niektóre Gminy lub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GOPS’y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wydatkują absurdalne kwoty na tworzenie prostych stron WWW (niezwiązanych akurat z zadaniami wykonywanymi przez GKRPA) u naszej konkurencji - co prawda nie tak wysokie jak powołany wyżej przykład Sądu, ale nawet 10 % kwoty, którą wydał wyżej powołany Sąd na tego typu usługi wydaje się - krańcową niegospodarnością i nieuczciwością i powinno być piętnowane przy każdej okazji.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O tego typu absurdalnych wydatkach można czytać w niektórych zakończonych postępowaniach na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BIP’ach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i niektórych stronach WWW Gmin i Ośrodków Pomocy Społecznej - choć nie są to tak częste przypadki, jak w przypadku Sadów - za poprzednich władz - w latach 2007 - 2015 - kiedy skala tych nieprawidłowości dochodziła do ekstremum - włącznie z korupcją (za poprzednich Rządów) w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MSWiA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w 2011 r. - vide </w:t>
      </w:r>
      <w:hyperlink r:id="rId25" w:tgtFrame="_blank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https://www.newsweek.pl/polska/korupcja-w-mswia-beda-kolejne-zatrzymania-w-mswia/z2pwd3v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 xml:space="preserve">  &lt; </w:t>
      </w:r>
      <w:hyperlink r:id="rId26" w:tgtFrame="_blank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https://www.newsweek.pl/polska/korupcja-w-mswia-beda-kolejne-zatrzymania-w-mswia/z2pwd3v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>&gt;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Rozpisujemy się na ten temat tak szeroko, gdyż nie chcemy aby efektem niniejszej petycji były jakieś działania Decydentów związane z wydatkowaniem nierynkowych kwot. Wręcz przeciwnie expressis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verbis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- zaznaczamy, że działania te można realizować wydatkując - ad hoc - niewielkie kwoty - a naszym celem nie jest doprowadzenie do sytuacji, w której w miejsce niewydatkowania środków (co jak sygnalizuje NIK jest deliktem prawnym) - nastąpiłoby marnotrawienie środków publicznych - co jest przestępstwem w naszym mniemaniu i o czym można czytać powyżej.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Jawność i transparentność w Gminach - powinna właśnie - znaleźć szczególny wyraz z publikatorach internetowych - typu BIP i WWW - może wtedy - w ramach większej kontroli społecznej nie dochodziłoby do przypadków jak </w:t>
      </w:r>
      <w:hyperlink r:id="rId27" w:tgtFrame="_blank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https://www.tvp.info/40819340/wyplacila-sobie-177-tys-zl-z-konta-osrodka-pomocy-spolecznej-zarzuty-dla-bylej-kierowniczki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 xml:space="preserve">  &lt; </w:t>
      </w:r>
      <w:hyperlink r:id="rId28" w:tgtFrame="_blank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https://www.tvp.info/40819340/wyplacila-sobie-177-tys-zl-z-konta-osrodka-pomocy-spolecznej-zarzuty-dla-bylej-kierowniczki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>&gt;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§3) Aby zachować pełną jawność i transparentność działań - wnosimy o opublikowanie treści petycji - wraz z załącznikami - na stronie internetowej WWW lub BIP podmiotu rozpatrującego petycję - w tym przypadku Gminy/Miasta (Adresata) - na podstawie art. 8 ust. 1 ww. Ustawy o petycjach - co jest jednoznaczne z wyrażeniem zgody na publikację wszystkich danych podmiotu wnoszącego petycję. Chcemy działać w pełni jawnie i transparentnie. Jeśli należy coś zanimizować - proszę to uczynić - ale nie widzimy takich danych (dane Urzędników nie podlegają animizacji - uczeń sygnował opinię jedynie inicjałem nazwiska, etc)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Optymalizację i wdrożenie procedury sanacyjnej -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Petycjodawca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- rozumie w tym przypadku - jako - ad exemplum - skuteczniejszą walkę z patologiami.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Dla zobrazowania problematyki bezczynności Gmin w ratowaniu młodzieży i dzieci dla których przeznaczony powinien być fundusz korkowy załączamy przykładową odpowiedź Gminy Biskupice (o której wzmiankowaliśmy powyżej), która expressis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verbis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potwierdza niewydatkowanie ponad 70 % rzeczonego budżetu -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- to nie wyjątek ale wręcz uzus - w co nikt nie wierzy dopóki nie zobaczy posiadanych przez nas odpowiedzi z Gmin - sygnowanych przez Decydentów.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lastRenderedPageBreak/>
        <w:t>Tymczasem można wykorzy</w:t>
      </w:r>
      <w:r w:rsidR="00011630">
        <w:rPr>
          <w:rFonts w:ascii="Times New Roman" w:eastAsia="Times New Roman" w:hAnsi="Times New Roman" w:cs="Times New Roman"/>
          <w:lang w:eastAsia="pl-PL"/>
        </w:rPr>
        <w:t>s</w:t>
      </w:r>
      <w:r w:rsidRPr="00F47CC9">
        <w:rPr>
          <w:rFonts w:ascii="Times New Roman" w:eastAsia="Times New Roman" w:hAnsi="Times New Roman" w:cs="Times New Roman"/>
          <w:lang w:eastAsia="pl-PL"/>
        </w:rPr>
        <w:t xml:space="preserve">tać narzędzie Internetowe do prewencji -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in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fine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wniosku - załączamy dokumenty przedstawiające stanowisko PRARPA w kwestii wykorzystania narzędzi Internetowych do walki z patologiami.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Co więcej -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in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fine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wniosku - znajduje się załącznik z odpowiedzią z Gminy Aleksandrów Drugi (pow. biłgorajski) - z której wynika, że są w Polsce Gminy, które i prawie 50% środków uzyskiwanych od Podatników zgodnie z Ustawą o wychowaniu w trzeźwości i przeciwdziałaniu alkoholizmowi - wydatkują na ... wynagrodzenia Gminnych Komisji Rozwiązywania Problemów Alkoholowych. W załączeniu odnośny przykład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wg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>. Odpowiedzi sygnowanej przez Wójta - na zakup materiałów Gmina w</w:t>
      </w:r>
      <w:r w:rsidR="00011630">
        <w:rPr>
          <w:rFonts w:ascii="Times New Roman" w:eastAsia="Times New Roman" w:hAnsi="Times New Roman" w:cs="Times New Roman"/>
          <w:lang w:eastAsia="pl-PL"/>
        </w:rPr>
        <w:t xml:space="preserve">ydatkowała 499,38 </w:t>
      </w:r>
      <w:proofErr w:type="spellStart"/>
      <w:r w:rsidR="00011630">
        <w:rPr>
          <w:rFonts w:ascii="Times New Roman" w:eastAsia="Times New Roman" w:hAnsi="Times New Roman" w:cs="Times New Roman"/>
          <w:lang w:eastAsia="pl-PL"/>
        </w:rPr>
        <w:t>pln</w:t>
      </w:r>
      <w:proofErr w:type="spellEnd"/>
      <w:r w:rsidR="00011630">
        <w:rPr>
          <w:rFonts w:ascii="Times New Roman" w:eastAsia="Times New Roman" w:hAnsi="Times New Roman" w:cs="Times New Roman"/>
          <w:lang w:eastAsia="pl-PL"/>
        </w:rPr>
        <w:t xml:space="preserve"> , a na wy</w:t>
      </w:r>
      <w:r w:rsidRPr="00F47CC9">
        <w:rPr>
          <w:rFonts w:ascii="Times New Roman" w:eastAsia="Times New Roman" w:hAnsi="Times New Roman" w:cs="Times New Roman"/>
          <w:lang w:eastAsia="pl-PL"/>
        </w:rPr>
        <w:t>n</w:t>
      </w:r>
      <w:r w:rsidR="00011630">
        <w:rPr>
          <w:rFonts w:ascii="Times New Roman" w:eastAsia="Times New Roman" w:hAnsi="Times New Roman" w:cs="Times New Roman"/>
          <w:lang w:eastAsia="pl-PL"/>
        </w:rPr>
        <w:t>a</w:t>
      </w:r>
      <w:r w:rsidRPr="00F47CC9">
        <w:rPr>
          <w:rFonts w:ascii="Times New Roman" w:eastAsia="Times New Roman" w:hAnsi="Times New Roman" w:cs="Times New Roman"/>
          <w:lang w:eastAsia="pl-PL"/>
        </w:rPr>
        <w:t xml:space="preserve">grodzenia członków Komisji ... 13 382,73 zł. - sic! Tymczasem rzeczone środki powinny być wydatkowane par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excellence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- na walkę z alkoholizmem i narkomanią ! wszak leczenia wymagają osoby uzależnione ... nie Urzędnicy Komisji.</w:t>
      </w:r>
    </w:p>
    <w:p w:rsidR="00F47CC9" w:rsidRPr="00F47CC9" w:rsidRDefault="00F47CC9" w:rsidP="0001163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Pozwalamy sobie powtórzyć, że w opinii Wnioskodawców, Wydziały/Referaty i Urzędnicy (Stanowiska Jednoosobowe) - posiadający w zakresie swoich kompetencji sprawy związane - sensu largo - z ulepszeniem organizacji i usprawnieniem pracy Jednostki, a także lepszym zaspokojeniem potrzeb ludności i redukcją wydatków publicznych - powinny angażować się w tego typu procedury sanacyjne.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Pomimo, że nie wnioskujemy o informację przetworzoną w zakresie wymagającym znacznych nakładów pracy, uzasadniamy nasze pytania stosownie do brzmienia art. 3 ust. 1 pkt. 1 Ustawy o dostępie do informacji publicznej – tym, że przedmiotowa informacja oraz ewentualna późniejsza próba optymalizacji tego obszaru wydaje się szczególnie istotna z punktu widzenia Interesu Społecznego.</w:t>
      </w:r>
    </w:p>
    <w:p w:rsidR="00011630" w:rsidRDefault="00011630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Przewidujemy opublikowanie efektów Akcji na naszym portalu www.gmina.pl &lt; </w:t>
      </w:r>
      <w:hyperlink r:id="rId29" w:tgtFrame="_blank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http://www.gmina.pl/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>&gt;</w:t>
      </w:r>
    </w:p>
    <w:p w:rsidR="00011630" w:rsidRDefault="00011630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§4) Wnosimy o zwrotne potwierdzenie otrzymania niniejszego wniosku i petycji w trybie - odnośnych przepisów prawa - na adres e-mail </w:t>
      </w:r>
      <w:hyperlink r:id="rId30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stopaferom@samorzad.pl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 xml:space="preserve">  mailto:</w:t>
      </w:r>
      <w:hyperlink r:id="rId31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stopaferom@samorzad.pl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 xml:space="preserve">  &lt;mailto: </w:t>
      </w:r>
      <w:hyperlink r:id="rId32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stopaferom@samorzad.pl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 xml:space="preserve">  mailto:</w:t>
      </w:r>
      <w:hyperlink r:id="rId33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stopaferom@samorzad.pl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 xml:space="preserve">  &gt;</w:t>
      </w:r>
    </w:p>
    <w:p w:rsidR="00011630" w:rsidRDefault="00011630" w:rsidP="0001163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01163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§5) Wnosimy o to, aby odpowiedź w przedmiocie powyższych pytań złożonych na mocy art. 61 Konstytucji RP w związku z art. 241 KPA, została udzielona - zwrotnie na adres e-mail </w:t>
      </w:r>
      <w:hyperlink r:id="rId34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stopaferom@samorzad.pl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 xml:space="preserve">  mailto:</w:t>
      </w:r>
      <w:hyperlink r:id="rId35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stopaferom@samorzad.pl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 xml:space="preserve">  &lt;mailto: </w:t>
      </w:r>
      <w:hyperlink r:id="rId36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stopaferom@samorzad.pl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 xml:space="preserve">  mailto:</w:t>
      </w:r>
      <w:hyperlink r:id="rId37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stopaferom@samorzad.pl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 xml:space="preserve">  &gt;  - stosownie do art. 13 ww. ustawy . Wnoszę aby odpowiedź została udzielona w formie przewidzianej w art. 39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index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1 §1 pkt. 1 Ustawy KPA.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Wniosek został sygnowany kwalifikowanym podpisem elektronicznym - stosownie do wytycznych Ustawy z dnia 5 września 2016 r. o usługach zaufania oraz identyfikacji elektronicznej (Dz.U.2016.1579 dnia 2016.09.29)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III - Wniosek odręb</w:t>
      </w:r>
      <w:r w:rsidR="00011630">
        <w:rPr>
          <w:rFonts w:ascii="Times New Roman" w:eastAsia="Times New Roman" w:hAnsi="Times New Roman" w:cs="Times New Roman"/>
          <w:lang w:eastAsia="pl-PL"/>
        </w:rPr>
        <w:t>n</w:t>
      </w:r>
      <w:r w:rsidRPr="00F47CC9">
        <w:rPr>
          <w:rFonts w:ascii="Times New Roman" w:eastAsia="Times New Roman" w:hAnsi="Times New Roman" w:cs="Times New Roman"/>
          <w:lang w:eastAsia="pl-PL"/>
        </w:rPr>
        <w:t>y w trybie Rozporządzenia w sprawie instrukcji kancelaryjnej: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Zwracamy uwagę, że Ustawodawca do tego stopnia stara się - poszerzyć spektrum możliwości porównywania cen i wyboru różnych opcji rynkowych oraz przeciwdziałać korupcji w Administracji Publicznej - że zasugerował w §6 ust. 2 pkt. 2 załącznika nr 1 do Rozporządzenia Prezesa Rady Ministrów z dnia 18 stycznia 2011 r. w sprawie instrukcji kancelaryjnej, (…) (Dz. U. z dnia 20 stycznia 2011 r.) - przypisanie/archiwizowanie, również wszystkich niezamówionych ofert, a co dopiero petycji i wniosków optymalizacyjnych. Cieszy nas ten fakt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niemiernie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>, przyczyni się z pewnością do większej rozwagi w wydatkowaniu środków publicznych.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§7) Aby zachować pełną jawność i transparentność działań - na podstawie wzmiankowanego powyżej §6 ust. 2 pkt. 2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zal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. nr 1 w sprawie instrukcji kancelaryjnej - wnosimy o podanie klasy z wykazu akt pod którą zarchiwizowano/przypis. załączoną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in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fine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- przykładową umowę - scilicet : zgodnie z brzmieniem rzeczonego przepisu: "Dokumentacja nietworząca akt spraw to dokumentacja, która nie została przyporządkowana do sprawy, a jedynie do klasy z wykazu akt.</w:t>
      </w:r>
    </w:p>
    <w:p w:rsidR="00011630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2.Dokumentację, o której mowa w ust. 1, mogą stanowić w szczególności: 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1) zaproszenia, życzenia, podziękowania, kondolencje, jeżeli nie stanowią części akt sprawy;</w:t>
      </w:r>
    </w:p>
    <w:p w:rsidR="00011630" w:rsidRDefault="00F47CC9" w:rsidP="0001163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2) niezamawiane przez podmiot oferty, które nie zostały wykorzystane;</w:t>
      </w:r>
    </w:p>
    <w:p w:rsidR="00F47CC9" w:rsidRPr="00F47CC9" w:rsidRDefault="00F47CC9" w:rsidP="0001163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3) publikacje (dzienniki urzędowe, czasopisma, katalogi, książki, gazety, afisze, ogłoszenia) oraz inne druki, chyba że stanowią załącznik do pisma; (...) “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IV - Wniosek odrębny w trybie Ustawy z dnia 14 czerwca 1960 r. Kodeks postępowania administracyjnego (Dz.U.2017.1257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>. z 2017.06.27)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lastRenderedPageBreak/>
        <w:t>§</w:t>
      </w:r>
      <w:r w:rsidR="00011630">
        <w:rPr>
          <w:rFonts w:ascii="Times New Roman" w:eastAsia="Times New Roman" w:hAnsi="Times New Roman" w:cs="Times New Roman"/>
          <w:lang w:eastAsia="pl-PL"/>
        </w:rPr>
        <w:t>8) Wnosimy o wyznaczenie terminu</w:t>
      </w:r>
      <w:r w:rsidRPr="00F47CC9">
        <w:rPr>
          <w:rFonts w:ascii="Times New Roman" w:eastAsia="Times New Roman" w:hAnsi="Times New Roman" w:cs="Times New Roman"/>
          <w:lang w:eastAsia="pl-PL"/>
        </w:rPr>
        <w:t xml:space="preserve"> rozmowy telefonicznej - z Kierownikiem JST - w trybie art. 253 KPA - w dzień przyjęć Interesantów w sprawach skarg i wniosków.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W zakresie tego punktu wnosimy o podanie w odpowiedzi wyznaczonego dnia i godziny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011630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§9</w:t>
      </w:r>
      <w:r w:rsidR="00F47CC9" w:rsidRPr="00F47CC9">
        <w:rPr>
          <w:rFonts w:ascii="Times New Roman" w:eastAsia="Times New Roman" w:hAnsi="Times New Roman" w:cs="Times New Roman"/>
          <w:lang w:eastAsia="pl-PL"/>
        </w:rPr>
        <w:t>) Aby zachować pełną jawność i transparentność - niniejszy wniosek został wysłany do innych Państwowych Instytucji - na mocy § 2. Rozporządzenia Prezesa Rady Ministrów z dnia 8 stycznia 2002 r. w sprawie organizacji przyjmowania i rozpatrywania skarg i wniosków. (Dz. U. z dnia 22 styczna 2002 r. Nr 5, poz. 46) - scilicet: Skargę lub wniosek adresowane do właściwego organu i przesłane w odpisie do innego organu rozpatruje i załatwia, w ramach swojej właściwości, organ, do którego były adresowane.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Wnioskodawca: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Osoba Prawna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Szulc-Efekt sp. z o. o.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Prezes Zarządu: Adam Szulc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ul. Poligonowa 1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04-051 Warszawa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nr KRS: 0000059459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            Kapitał Zakładowy: 222.000,00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pln</w:t>
      </w:r>
      <w:proofErr w:type="spellEnd"/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            www.gmina.pl &lt; </w:t>
      </w:r>
      <w:hyperlink r:id="rId38" w:tgtFrame="_blank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http://www.gmina.pl/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 xml:space="preserve">&gt;  www.samorzad.pl &lt; </w:t>
      </w:r>
      <w:hyperlink r:id="rId39" w:tgtFrame="_blank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http://www.samorzad.pl/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>&gt;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Dodatkowe informacje: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Stosownie do art. 4 ust. 2 pkt. 1 Ustawy o petycjach (Dz.U.2018.870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>. z dnia 2018.05.10) - osobą reprezentująca Podmiot wnoszący petycję - jest Prezes Zarządu Adam Szulc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Stosownie do art. 4 ust. 2 pkt. 5 ww. Ustawy - petycja niniejsza została złożona za pomocą środków komunikacji elektronicznej - a wskazanym zwrotnym adresem poczty elektronicznej jest: </w:t>
      </w:r>
      <w:hyperlink r:id="rId40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stopaferom@samorzad.pl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 xml:space="preserve">  mailto:</w:t>
      </w:r>
      <w:hyperlink r:id="rId41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stopaferom@samorzad.pl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 xml:space="preserve">  &lt;mailto: </w:t>
      </w:r>
      <w:hyperlink r:id="rId42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stopaferom@samorzad.pl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 xml:space="preserve">  mailto:</w:t>
      </w:r>
      <w:hyperlink r:id="rId43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stopaferom@samorzad.pl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 xml:space="preserve">  &gt;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Adresatem Petycji - jest Organ ujawniony w komparycji - jednoznacznie identyfikowalny za pomocą uzyskanego z Biuletynu Informacji Publicznej Urzędu - adresu e-mail !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Komentarz do Wniosku:</w:t>
      </w:r>
    </w:p>
    <w:p w:rsidR="00F47CC9" w:rsidRPr="00F47CC9" w:rsidRDefault="00F47CC9" w:rsidP="00587F6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Przypominamy, że przy ewentualnym wyborze rozwiązań rynkowych - Urzędnicy powinni kierować się jedynie zasadami zachowania uczciwej konkurencji i racjonalności oraz oszczędności i pełnej jawności w wydatkowaniu środków publicznych pochodzących z pieniędzy Podatników.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Im więcej zebranych przez Urząd w danym obszarze niezależnych ofert rynkowych - tym większa szansa na wykorzystanie zasad uczciwej konkurencji w celu oszczędności środków publicznych.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Jakiekolwiek ewentualne działania Urzędników wynikłe z procedowania niniejszej petycji/wniosku - powinny być wykonywane z uwzględnieniem zasad uczciwej konkurencji oraz pełnej jawności, transparentności i racjonalności przy wydatkowaniu środków publicznych.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Adresat jest jednoznacznie identyfikowany - na podstawie - unikalnego adresu e-mail opublikowanego w Biuletynie Informacji Publicznej Jednostki i przypisanego do odnośnego Organu.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Rzeczony adres e-mail - zgodnie z dyspozycją art. 1 i 8 ustawy o dostępie do informacji publicznej - stanowiąc informację pewną i potwierdzoną - jednoznacznie oznacza adresata petycji/wniosku. (Oznaczenie adresata petycji/wniosku)</w:t>
      </w:r>
      <w:r w:rsidR="00587F64">
        <w:rPr>
          <w:rFonts w:ascii="Times New Roman" w:eastAsia="Times New Roman" w:hAnsi="Times New Roman" w:cs="Times New Roman"/>
          <w:lang w:eastAsia="pl-PL"/>
        </w:rPr>
        <w:t>.</w:t>
      </w:r>
    </w:p>
    <w:p w:rsidR="00587F64" w:rsidRDefault="00F47CC9" w:rsidP="00587F6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Pomimo, iż w rzeczonym wniosku powołujemy się na art. 241 Ustawy z dnia 14 czerwca 1960 r. Kodeks postępowania administracyjnego (Dz.U.2016.23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>. z dnia 2016.01.07) - w naszym mniemaniu - nie oznacza to, że Urząd powinien rozpatrywać niniejsze wnioski w trybie KPA</w:t>
      </w:r>
    </w:p>
    <w:p w:rsidR="00F47CC9" w:rsidRPr="00F47CC9" w:rsidRDefault="00F47CC9" w:rsidP="00587F6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W opinii Wnioskodawcy Urząd powinien w zależności od dokonanej interpretacji treści pisma - procedować nasze wnioski - w trybie Ustawy o petycjach (Dz.U.2014.1195 z dnia 2014.09.05) lub odpowiednio Ustawy o dostępie do informacji publicznej (wynika to zazwyczaj z jego treści i powołanych podstaw prawnych).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Zatem -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wg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>. Wnioskodawcy niniejszy wniosek może być jedynie fakultatywnie rozpatrywany - jako optymalizacyjny w związku z art. 241 KPA.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W naszych wnioskach/petycjach często powołujemy sie na wzmiankowany art. 241 KPA - scilicet: "Przedmiotem wniosku mogą być w szczególności sprawy ulepszenia organizacji, wzmocnienia </w:t>
      </w:r>
      <w:r w:rsidRPr="00F47CC9">
        <w:rPr>
          <w:rFonts w:ascii="Times New Roman" w:eastAsia="Times New Roman" w:hAnsi="Times New Roman" w:cs="Times New Roman"/>
          <w:lang w:eastAsia="pl-PL"/>
        </w:rPr>
        <w:lastRenderedPageBreak/>
        <w:t>praworządności, usprawnienia pracy i zapobiegania nadużyciom, ochrony własności, lepszego zaspokajania potrzeb ludności.” - w sensie możliwości otwarcia procedury sanacyjnej.</w:t>
      </w:r>
    </w:p>
    <w:p w:rsidR="00587F64" w:rsidRDefault="00F47CC9" w:rsidP="00587F6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Każdy Podmiot mający styczność z Urzędem - ma prawo i obowiązek - usprawniać struk</w:t>
      </w:r>
      <w:r w:rsidR="00587F64">
        <w:rPr>
          <w:rFonts w:ascii="Times New Roman" w:eastAsia="Times New Roman" w:hAnsi="Times New Roman" w:cs="Times New Roman"/>
          <w:lang w:eastAsia="pl-PL"/>
        </w:rPr>
        <w:t xml:space="preserve">tury administracji samorządowej. </w:t>
      </w:r>
    </w:p>
    <w:p w:rsidR="00F47CC9" w:rsidRPr="00F47CC9" w:rsidRDefault="00F47CC9" w:rsidP="00587F6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Zatem pomimo formy zewnętrznej - Decydenci mogą/powinni dokonać własnej interpretacji - zgodnie z brzmieniem art. 222 KPA.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Nazwa Wnioskodawca - jest dla uproszczenia stosowna jako synonim nazwy “Podmiot Wnoszący Petycję” - w rozumieniu art. 4 ust. 4 Ustawy o petycjach (Dz.U.2014.1195 z dnia 2014.09.05)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Pozwalamy sobie również przypomnieć, że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ipso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iure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art. 2 ust. 2 Ustawy o dostępie do informacji publicznej “ (…) Od osoby wykonującej prawo do informacji publicznej nie wolno żądać wykazania interesu prawnego lub faktycznego.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Wnioskodawca - pro forma podpisał - niniejszy wniosek - bezpiecznym kwalifikowanym podpisem elektronicznym (w załączeniu stosowne pliki) - choć według aktualnego orzecznictwa brak podpisu elektronicznego nie powoduje bezprzedmiotowości wniosku, stosownie do orzeczenia: Naczelnego Sądu Administracyjnego w Warszawie I OSK 1277/08. Podkreślamy jednocześnie, iż przedmiotowy wniosek traktujemy jako próbę usprawnienia organizacji działania Jednostek Administracji Publicznej - w celu lepszego zaspokajania potrzeb ludności. Do wniosku dołączono plik podpisany bezpiecznym kwalifikowanym podpisem elektronicznym, zawiera on taką samą treść, jak ta która znajduje się w niniejszej wiadomości e-mail. Weryfikacja podpisu i odczytanie pliku wymaga posiadania oprogramowania, które bez ponoszenia opłat, można uzyskać na stronach WWW podmiotów - zgodnie z ustawą, świadczących usługi certyfikacyjne.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Celem naszych wniosków jest - sensu largo - usprawnienie, naprawa - na miarę istniejących możliwości - funkcjonowania struktur Administracji Publicznej - głownie w Gminach/Miastach - gdzie jak wynika z naszych wniosków - stan faktyczny wymaga wszczęcia procedur sanacyjnych.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W Jednostkach Pionu Administracji Rządowej - stan faktyczny jest o wiele lepszy.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Zwracamy uwagę, że Ustawodawca do tego stopnia stara się - poszerzyć spektrum możliwości porównywania cen i wyboru różnych opcji rynkowych oraz przeciwdziałać korupcji w Administracji Publicznej - że nakazał w §6 ust. 2 pkt. 2 załącznika nr 1 do Rozporządzenia Prezesa Rady Ministrów z dnia 18 stycznia 2011 r. w sprawie instrukcji kancelaryjnej, (…) (Dz. U. z dnia 20 stycznia 2011 r.) - archiwizowanie, również wszystkich niezamówionych ofert, a co dopiero petycji i wniosków optymalizacyjnych. Cieszy nas ten fakt nie</w:t>
      </w:r>
      <w:r w:rsidR="00587F64">
        <w:rPr>
          <w:rFonts w:ascii="Times New Roman" w:eastAsia="Times New Roman" w:hAnsi="Times New Roman" w:cs="Times New Roman"/>
          <w:lang w:eastAsia="pl-PL"/>
        </w:rPr>
        <w:t>z</w:t>
      </w:r>
      <w:r w:rsidRPr="00F47CC9">
        <w:rPr>
          <w:rFonts w:ascii="Times New Roman" w:eastAsia="Times New Roman" w:hAnsi="Times New Roman" w:cs="Times New Roman"/>
          <w:lang w:eastAsia="pl-PL"/>
        </w:rPr>
        <w:t>miernie, przyczyni się z pewnością do większej rozwagi w wydatkowaniu środków publicznych.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Duża ilość powoływanych przepisów prawa w przedmiotowym wniosku, wiąże się z tym, że chcemy uniknąć wyjaśniania intencji i podstaw prawnych w rozmowach telefonicznych - co rzadko, ale jednak, ciągle ma miejsce w przypadku nielicznych JST.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Jeżeli JST nie zgada się z powołanymi przepisami prawa, prosimy aby zastosowano podstawy prawne akceptowane przez JST.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Dobro Petenta i jawność życia publicznego jest naszym nadrzędnym celem, dlatego staramy się również upowszechniać zapisy Ustawowe dotyczące Wnioskowania. Kwestie te Ustawodawca podkreślił i uregulował w art. 63 Konstytucji RP: "Każdy ma prawo składać petycje, wnioski i skargi w interesie publicznym, własnym lub innej osoby za jej zgodą do organów władzy publicznej oraz do organizacji i instytucji społecznych w związku z wykonywanymi przez nie zadaniami zleconymi z zakresu administracji publicznej." oraz w art. 54 ust. 1 Konstytucji RP "Każdemu zapewnia się wolność wyrażania swoich poglądów oraz pozyskiwania i rozpowszechniania informacji."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Pamiętajmy również o przepisach zawartych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inter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alia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>: w art. 225 KPA: "§ 1. Nikt nie może być narażony na jakikolwiek uszczerbek lub zarzut z powodu złożenia skargi lub wniosku albo z powodu dostarczenia materiału do publikacji o znamionach skargi lub wniosku, jeżeli działał w granicach prawem dozwolonych. § 2. Organy państwowe, organy jednostek samorządu terytorialnego i inne organy samorządowe oraz organy organizacji społecznych są obowiązane przeciwdziałać hamowaniu krytyki i innym działaniom ograniczającym prawo do składania skarg i wniosków lub dostarczania informacji - do publikacji - o znamionach skargi lub wniosku."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Eksperci NIK piszą: "Niewielka liczba składanych wniosków o udzielenie informacji publicznej, liczba skarg złożonych do WSA, jak również liczba pozwów złożonych do sądów rejonowych, świadczyć może o braku zainteresowania w egzekwowaniu powszechnego prawa do informacji publicznej. Z drugiej strony, realizację tego prawa utrudniają podmioty zobowiązane do pełnej przejrzystości swojego działania, poprzez nieudostępnianie wymaganej informacji publicznej" [Protokół pokontrolny dostępny w sieci Internet: LBY-4101-09/2010]. Mamy nadzieję, zmienić powyższą ocenę, być może nasz wniosek choć w niewielkim stopniu – przyczyni się do zwiększenia tych wskaźników.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Postulujemy, ABY NASZA PETYCJA NIE BYŁA W ŻADNYM RAZIE ŁĄCZONA Z PÓŹNIEJSZYM jakimkolwiek trybem zamówienia nie musimy dodawać, że mamy nadzieję, iż wszelkie postępowania będą </w:t>
      </w:r>
      <w:r w:rsidRPr="00F47CC9">
        <w:rPr>
          <w:rFonts w:ascii="Times New Roman" w:eastAsia="Times New Roman" w:hAnsi="Times New Roman" w:cs="Times New Roman"/>
          <w:lang w:eastAsia="pl-PL"/>
        </w:rPr>
        <w:lastRenderedPageBreak/>
        <w:t xml:space="preserve">prowadzone z uwzględnieniem zasad uczciwej konkurencji - i o wyborze oferenta będą decydować jedynie ustalone przez decydentów kryteria związane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inter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alia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z parametrami ofert oraz ceną.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Oczywiście - wszelkie ewentualne postępowania - ogłoszone przez Jednostkę Administracji Publicznej - będące następstwem niniejszego wniosku - należy przeprowadzić zgodnie z rygorystycznymi zasadami wydatkowania środków publicznych - z uwzględnieniem stosowania zasad uczciwej konkurencji, przejrzystości i transparentności - zatem w pełni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lege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artis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>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Ponownie sygnalizujemy, że do wniosku dołączono plik podpisany bezpiecznym kwalifikowanym podpisem elektronicznym. Weryfikacja podpisu i odczytanie pliku wymaga posiadania oprogramowania, które bez ponoszenia opłat, można uzyskać na stronach WWW podmiotów - zgodnie z ustawą, świadczących usługi certyfikacyjne.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Z poważaniem: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Adam Szulc – Prezes Zarządu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            Szulc-Efekt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sp</w:t>
      </w:r>
      <w:proofErr w:type="spellEnd"/>
      <w:r w:rsidRPr="00F47CC9">
        <w:rPr>
          <w:rFonts w:ascii="Times New Roman" w:eastAsia="Times New Roman" w:hAnsi="Times New Roman" w:cs="Times New Roman"/>
          <w:lang w:eastAsia="pl-PL"/>
        </w:rPr>
        <w:t xml:space="preserve"> zoo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KRS: 0000059459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ul. Poligonowa 1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tel. (22) 673-62-12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608-318-418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>            603-158-914</w:t>
      </w:r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            Kapitał Zakładowy: 222 000,00 </w:t>
      </w:r>
      <w:proofErr w:type="spellStart"/>
      <w:r w:rsidRPr="00F47CC9">
        <w:rPr>
          <w:rFonts w:ascii="Times New Roman" w:eastAsia="Times New Roman" w:hAnsi="Times New Roman" w:cs="Times New Roman"/>
          <w:lang w:eastAsia="pl-PL"/>
        </w:rPr>
        <w:t>pln</w:t>
      </w:r>
      <w:proofErr w:type="spellEnd"/>
    </w:p>
    <w:p w:rsidR="00F47CC9" w:rsidRPr="00F47CC9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47CC9">
        <w:rPr>
          <w:rFonts w:ascii="Times New Roman" w:eastAsia="Times New Roman" w:hAnsi="Times New Roman" w:cs="Times New Roman"/>
          <w:lang w:eastAsia="pl-PL"/>
        </w:rPr>
        <w:t xml:space="preserve">www.gmina.pl &lt; </w:t>
      </w:r>
      <w:hyperlink r:id="rId44" w:tgtFrame="_blank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http://www.gmina.pl/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 xml:space="preserve">&gt;  www.samorzad.pl &lt; </w:t>
      </w:r>
      <w:hyperlink r:id="rId45" w:tgtFrame="_blank" w:history="1">
        <w:r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http://www.samorzad.pl/</w:t>
        </w:r>
      </w:hyperlink>
      <w:r w:rsidRPr="00F47CC9">
        <w:rPr>
          <w:rFonts w:ascii="Times New Roman" w:eastAsia="Times New Roman" w:hAnsi="Times New Roman" w:cs="Times New Roman"/>
          <w:lang w:eastAsia="pl-PL"/>
        </w:rPr>
        <w:t>&gt;</w:t>
      </w:r>
    </w:p>
    <w:p w:rsidR="00F47CC9" w:rsidRPr="00F47CC9" w:rsidRDefault="00587F64" w:rsidP="00F47CC9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   </w:t>
      </w:r>
      <w:r w:rsidR="00F47CC9" w:rsidRPr="00F47CC9">
        <w:rPr>
          <w:rFonts w:ascii="Times New Roman" w:eastAsia="Times New Roman" w:hAnsi="Times New Roman" w:cs="Times New Roman"/>
          <w:lang w:eastAsia="pl-PL"/>
        </w:rPr>
        <w:t xml:space="preserve">"www.gmina.pl &lt; </w:t>
      </w:r>
      <w:hyperlink r:id="rId46" w:tgtFrame="_blank" w:history="1">
        <w:r w:rsidR="00F47CC9" w:rsidRPr="00F47CC9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http://www.gmina.pl/</w:t>
        </w:r>
      </w:hyperlink>
      <w:r w:rsidR="00F47CC9" w:rsidRPr="00F47CC9">
        <w:rPr>
          <w:rFonts w:ascii="Times New Roman" w:eastAsia="Times New Roman" w:hAnsi="Times New Roman" w:cs="Times New Roman"/>
          <w:lang w:eastAsia="pl-PL"/>
        </w:rPr>
        <w:t>&gt;  - jawność i transparentność - narzędzie do walki z korupcją i nadużyciami “</w:t>
      </w:r>
    </w:p>
    <w:p w:rsidR="009C5BCA" w:rsidRPr="00F47CC9" w:rsidRDefault="00587F64" w:rsidP="00F47CC9">
      <w:pPr>
        <w:jc w:val="both"/>
      </w:pPr>
    </w:p>
    <w:sectPr w:rsidR="009C5BCA" w:rsidRPr="00F47CC9" w:rsidSect="00011630">
      <w:pgSz w:w="11906" w:h="16838"/>
      <w:pgMar w:top="1134" w:right="991" w:bottom="993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/>
  <w:defaultTabStop w:val="708"/>
  <w:hyphenationZone w:val="425"/>
  <w:characterSpacingControl w:val="doNotCompress"/>
  <w:compat/>
  <w:rsids>
    <w:rsidRoot w:val="00F47CC9"/>
    <w:rsid w:val="00011630"/>
    <w:rsid w:val="00040876"/>
    <w:rsid w:val="000A468E"/>
    <w:rsid w:val="000D4E92"/>
    <w:rsid w:val="00110159"/>
    <w:rsid w:val="002020A5"/>
    <w:rsid w:val="00220BC6"/>
    <w:rsid w:val="0025747A"/>
    <w:rsid w:val="00302180"/>
    <w:rsid w:val="003548F9"/>
    <w:rsid w:val="003B5448"/>
    <w:rsid w:val="003F7939"/>
    <w:rsid w:val="004214B8"/>
    <w:rsid w:val="0047345E"/>
    <w:rsid w:val="004E6DC0"/>
    <w:rsid w:val="0052439E"/>
    <w:rsid w:val="00581584"/>
    <w:rsid w:val="00587F64"/>
    <w:rsid w:val="005F429F"/>
    <w:rsid w:val="00645AD9"/>
    <w:rsid w:val="006D58F8"/>
    <w:rsid w:val="006E4512"/>
    <w:rsid w:val="006E5088"/>
    <w:rsid w:val="006F1605"/>
    <w:rsid w:val="00700FAA"/>
    <w:rsid w:val="00705726"/>
    <w:rsid w:val="00764A55"/>
    <w:rsid w:val="007B0F78"/>
    <w:rsid w:val="007F2F11"/>
    <w:rsid w:val="008068C3"/>
    <w:rsid w:val="00807547"/>
    <w:rsid w:val="008778E8"/>
    <w:rsid w:val="00936FAA"/>
    <w:rsid w:val="00942EE0"/>
    <w:rsid w:val="009609AE"/>
    <w:rsid w:val="009906E3"/>
    <w:rsid w:val="009C78CB"/>
    <w:rsid w:val="00A055DE"/>
    <w:rsid w:val="00A135DD"/>
    <w:rsid w:val="00A821FB"/>
    <w:rsid w:val="00AE61DA"/>
    <w:rsid w:val="00AF22BD"/>
    <w:rsid w:val="00C36A8B"/>
    <w:rsid w:val="00CC2B19"/>
    <w:rsid w:val="00D813F8"/>
    <w:rsid w:val="00DA614F"/>
    <w:rsid w:val="00E74EA3"/>
    <w:rsid w:val="00F221C3"/>
    <w:rsid w:val="00F47CC9"/>
    <w:rsid w:val="00FD3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79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47CC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011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4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9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9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5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4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7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3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6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5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5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5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5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8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4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2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4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2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4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3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1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5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8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2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0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1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7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3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1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4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9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3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4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4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3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4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5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9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47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5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2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5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5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6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2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85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2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1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0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2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8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3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8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4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4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5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1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6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1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3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9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5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8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4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9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7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2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3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24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1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37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6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0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9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4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6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vp.info/43314343/raport-o-dopalaczach-zgon-prawie-co-drugi-dzien-najczesciej-wsrod-mlodych-osob" TargetMode="External"/><Relationship Id="rId13" Type="http://schemas.openxmlformats.org/officeDocument/2006/relationships/hyperlink" Target="https://www.tvp.info/43314343/raport-o-dopalaczach-zgon-prawie-co-drugi-dzien-najczesciej-wsrod-mlodych-osob" TargetMode="External"/><Relationship Id="rId18" Type="http://schemas.openxmlformats.org/officeDocument/2006/relationships/hyperlink" Target="https://www.tvp.info/43314343/raport-o-dopalaczach-zgon-prawie-co-drugi-dzien-najczesciej-wsrod-mlodych-osob" TargetMode="External"/><Relationship Id="rId26" Type="http://schemas.openxmlformats.org/officeDocument/2006/relationships/hyperlink" Target="https://www.newsweek.pl/polska/korupcja-w-mswia-beda-kolejne-zatrzymania-w-mswia/z2pwd3v" TargetMode="External"/><Relationship Id="rId39" Type="http://schemas.openxmlformats.org/officeDocument/2006/relationships/hyperlink" Target="http://www.samorzad.pl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abramow.samorzad.pl/" TargetMode="External"/><Relationship Id="rId34" Type="http://schemas.openxmlformats.org/officeDocument/2006/relationships/hyperlink" Target="mailto:stopaferom@samorzad.pl" TargetMode="External"/><Relationship Id="rId42" Type="http://schemas.openxmlformats.org/officeDocument/2006/relationships/hyperlink" Target="mailto:stopaferom@samorzad.pl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s://www.tvp.info/55640859/dobczyn-zwloki-nastolatek-w-lesie-byly-powieszone-na-wierzbie-nowe-informacje-wyniki-sekcji-zwlok" TargetMode="External"/><Relationship Id="rId12" Type="http://schemas.openxmlformats.org/officeDocument/2006/relationships/hyperlink" Target="http://www.nik.gov.pl/" TargetMode="External"/><Relationship Id="rId17" Type="http://schemas.openxmlformats.org/officeDocument/2006/relationships/hyperlink" Target="https://www.tvp.info/43314343/raport-o-dopalaczach-zgon-prawie-co-drugi-dzien-najczesciej-wsrod-mlodych-osob" TargetMode="External"/><Relationship Id="rId25" Type="http://schemas.openxmlformats.org/officeDocument/2006/relationships/hyperlink" Target="https://www.newsweek.pl/polska/korupcja-w-mswia-beda-kolejne-zatrzymania-w-mswia/z2pwd3v" TargetMode="External"/><Relationship Id="rId33" Type="http://schemas.openxmlformats.org/officeDocument/2006/relationships/hyperlink" Target="mailto:stopaferom@samorzad.pl" TargetMode="External"/><Relationship Id="rId38" Type="http://schemas.openxmlformats.org/officeDocument/2006/relationships/hyperlink" Target="http://www.gmina.pl/" TargetMode="External"/><Relationship Id="rId46" Type="http://schemas.openxmlformats.org/officeDocument/2006/relationships/hyperlink" Target="http://www.gmina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vp.info/42749852/cios-w-handlarzy-smierci-dopalacze-gangu-zabily-co-najmniej-cztery-osoby" TargetMode="External"/><Relationship Id="rId20" Type="http://schemas.openxmlformats.org/officeDocument/2006/relationships/hyperlink" Target="http://www.urzadgminy.gniezno.pl/portal/gkrpa.html" TargetMode="External"/><Relationship Id="rId29" Type="http://schemas.openxmlformats.org/officeDocument/2006/relationships/hyperlink" Target="http://www.gmina.pl/" TargetMode="External"/><Relationship Id="rId41" Type="http://schemas.openxmlformats.org/officeDocument/2006/relationships/hyperlink" Target="mailto:stopaferom@samorzad.pl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tvp.info/55640859/dobczyn-zwloki-nastolatek-w-lesie-byly-powieszone-na-wierzbie-nowe-informacje-wyniki-sekcji-zwlok" TargetMode="External"/><Relationship Id="rId11" Type="http://schemas.openxmlformats.org/officeDocument/2006/relationships/hyperlink" Target="https://www.tvp.info/42749852/cios-w-handlarzy-smierci-dopalacze-gangu-zabily-co-najmniej-cztery-osoby" TargetMode="External"/><Relationship Id="rId24" Type="http://schemas.openxmlformats.org/officeDocument/2006/relationships/hyperlink" Target="https://www.gazetaprawna.pl/artykuly/719574,sad-najwyzszy-zamowil-droga-strone-internetowa-bez-przetargu-zlamal-prawo.html" TargetMode="External"/><Relationship Id="rId32" Type="http://schemas.openxmlformats.org/officeDocument/2006/relationships/hyperlink" Target="mailto:stopaferom@samorzad.pl" TargetMode="External"/><Relationship Id="rId37" Type="http://schemas.openxmlformats.org/officeDocument/2006/relationships/hyperlink" Target="mailto:stopaferom@samorzad.pl" TargetMode="External"/><Relationship Id="rId40" Type="http://schemas.openxmlformats.org/officeDocument/2006/relationships/hyperlink" Target="mailto:stopaferom@samorzad.pl" TargetMode="External"/><Relationship Id="rId45" Type="http://schemas.openxmlformats.org/officeDocument/2006/relationships/hyperlink" Target="http://www.samorzad.pl/" TargetMode="External"/><Relationship Id="rId5" Type="http://schemas.openxmlformats.org/officeDocument/2006/relationships/hyperlink" Target="https://www.emcdda.europa.eu/attachements.cfm/att_240226_EN_TDAU15001ENN1.pdf" TargetMode="External"/><Relationship Id="rId15" Type="http://schemas.openxmlformats.org/officeDocument/2006/relationships/hyperlink" Target="https://www.tvp.info/42749852/cios-w-handlarzy-smierci-dopalacze-gangu-zabily-co-najmniej-cztery-osoby" TargetMode="External"/><Relationship Id="rId23" Type="http://schemas.openxmlformats.org/officeDocument/2006/relationships/hyperlink" Target="https://www.gazetaprawna.pl/artykuly/719574,sad-najwyzszy-zamowil-droga-strone-internetowa-bez-przetargu-zlamal-prawo.html" TargetMode="External"/><Relationship Id="rId28" Type="http://schemas.openxmlformats.org/officeDocument/2006/relationships/hyperlink" Target="https://www.tvp.info/40819340/wyplacila-sobie-177-tys-zl-z-konta-osrodka-pomocy-spolecznej-zarzuty-dla-bylej-kierowniczki" TargetMode="External"/><Relationship Id="rId36" Type="http://schemas.openxmlformats.org/officeDocument/2006/relationships/hyperlink" Target="mailto:stopaferom@samorzad.pl" TargetMode="External"/><Relationship Id="rId10" Type="http://schemas.openxmlformats.org/officeDocument/2006/relationships/hyperlink" Target="https://www.tvp.info/42749852/cios-w-handlarzy-smierci-dopalacze-gangu-zabily-co-najmniej-cztery-osoby" TargetMode="External"/><Relationship Id="rId19" Type="http://schemas.openxmlformats.org/officeDocument/2006/relationships/hyperlink" Target="http://www.urzadgminy.gniezno.pl/portal/gkrpa.html" TargetMode="External"/><Relationship Id="rId31" Type="http://schemas.openxmlformats.org/officeDocument/2006/relationships/hyperlink" Target="mailto:stopaferom@samorzad.pl" TargetMode="External"/><Relationship Id="rId44" Type="http://schemas.openxmlformats.org/officeDocument/2006/relationships/hyperlink" Target="http://www.gmina.pl/" TargetMode="External"/><Relationship Id="rId4" Type="http://schemas.openxmlformats.org/officeDocument/2006/relationships/hyperlink" Target="https://www.emcdda.europa.eu/attachements.cfm/att_240226_EN_TDAU15001ENN1.pdf" TargetMode="External"/><Relationship Id="rId9" Type="http://schemas.openxmlformats.org/officeDocument/2006/relationships/hyperlink" Target="https://www.tvp.info/43314343/raport-o-dopalaczach-zgon-prawie-co-drugi-dzien-najczesciej-wsrod-mlodych-osob" TargetMode="External"/><Relationship Id="rId14" Type="http://schemas.openxmlformats.org/officeDocument/2006/relationships/hyperlink" Target="https://www.tvp.info/43314343/raport-o-dopalaczach-zgon-prawie-co-drugi-dzien-najczesciej-wsrod-mlodych-osob" TargetMode="External"/><Relationship Id="rId22" Type="http://schemas.openxmlformats.org/officeDocument/2006/relationships/hyperlink" Target="http://www.adamow-luk.samorzad.pl/" TargetMode="External"/><Relationship Id="rId27" Type="http://schemas.openxmlformats.org/officeDocument/2006/relationships/hyperlink" Target="https://www.tvp.info/40819340/wyplacila-sobie-177-tys-zl-z-konta-osrodka-pomocy-spolecznej-zarzuty-dla-bylej-kierowniczki" TargetMode="External"/><Relationship Id="rId30" Type="http://schemas.openxmlformats.org/officeDocument/2006/relationships/hyperlink" Target="mailto:stopaferom@samorzad.pl" TargetMode="External"/><Relationship Id="rId35" Type="http://schemas.openxmlformats.org/officeDocument/2006/relationships/hyperlink" Target="mailto:stopaferom@samorzad.pl" TargetMode="External"/><Relationship Id="rId43" Type="http://schemas.openxmlformats.org/officeDocument/2006/relationships/hyperlink" Target="mailto:stopaferom@samorzad.pl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10</Pages>
  <Words>6603</Words>
  <Characters>39622</Characters>
  <Application>Microsoft Office Word</Application>
  <DocSecurity>0</DocSecurity>
  <Lines>330</Lines>
  <Paragraphs>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2021-12-29T13:22:00Z</dcterms:created>
  <dcterms:modified xsi:type="dcterms:W3CDTF">2021-12-29T13:46:00Z</dcterms:modified>
</cp:coreProperties>
</file>