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6F7" w:rsidRDefault="00DE4193">
      <w:pPr>
        <w:tabs>
          <w:tab w:val="center" w:pos="7812"/>
        </w:tabs>
        <w:spacing w:after="474" w:line="354" w:lineRule="auto"/>
        <w:ind w:left="0" w:right="0" w:firstLine="0"/>
        <w:jc w:val="left"/>
      </w:pPr>
      <w:r>
        <w:rPr>
          <w:sz w:val="24"/>
        </w:rPr>
        <w:t>IK.6220.6.4.2021.OŚ</w:t>
      </w:r>
      <w:r>
        <w:rPr>
          <w:sz w:val="24"/>
        </w:rPr>
        <w:tab/>
        <w:t>Węgliniec dnia, 17.12.2021 r.</w:t>
      </w:r>
    </w:p>
    <w:p w:rsidR="00A526F7" w:rsidRDefault="00DE4193">
      <w:pPr>
        <w:spacing w:after="0" w:line="259" w:lineRule="auto"/>
        <w:ind w:left="10" w:right="86" w:hanging="10"/>
        <w:jc w:val="center"/>
      </w:pPr>
      <w:r>
        <w:rPr>
          <w:sz w:val="26"/>
        </w:rPr>
        <w:t>OBWIESZCZENIE</w:t>
      </w:r>
    </w:p>
    <w:p w:rsidR="00A526F7" w:rsidRDefault="00DE4193">
      <w:pPr>
        <w:spacing w:after="226" w:line="259" w:lineRule="auto"/>
        <w:ind w:left="10" w:right="96" w:hanging="10"/>
        <w:jc w:val="center"/>
      </w:pPr>
      <w:r>
        <w:rPr>
          <w:sz w:val="26"/>
        </w:rPr>
        <w:t>Burmistrza Gminy i Miasta Węgliniec</w:t>
      </w:r>
    </w:p>
    <w:p w:rsidR="00A526F7" w:rsidRDefault="00DE4193">
      <w:pPr>
        <w:spacing w:after="10" w:line="354" w:lineRule="auto"/>
        <w:ind w:left="14" w:right="95" w:firstLine="725"/>
      </w:pPr>
      <w:r>
        <w:rPr>
          <w:sz w:val="24"/>
        </w:rPr>
        <w:t>Na podstawie art. 36 S 2 oraz art. 49 ustawy z dnia 14 czerwca 1960 r. Kodeks postępowania administracyjnego (t.j. Dz. U. z 2021 r. poz. 735 cyt. dalej jako „</w:t>
      </w:r>
      <w:proofErr w:type="spellStart"/>
      <w:r>
        <w:rPr>
          <w:sz w:val="24"/>
        </w:rPr>
        <w:t>k.p.a</w:t>
      </w:r>
      <w:proofErr w:type="spellEnd"/>
      <w:r>
        <w:rPr>
          <w:sz w:val="24"/>
        </w:rPr>
        <w:t xml:space="preserve"> ") oraz stosownie do art.74 ust. 3 ustawy z dnia 3 października 2008 r. o udostępnianiu info</w:t>
      </w:r>
      <w:r>
        <w:rPr>
          <w:sz w:val="24"/>
        </w:rPr>
        <w:t xml:space="preserve">rmacji o środowisku i jego ochronie, udziale społeczeństwa w ochronie środowiska oraz o ocenach oddziaływania na środowisko (t.j. Dz. U. z 2021 r. poz. 2373 ze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 xml:space="preserve"> — cyt. dalej jako „ustawa </w:t>
      </w:r>
      <w:proofErr w:type="spellStart"/>
      <w:r>
        <w:rPr>
          <w:sz w:val="24"/>
        </w:rPr>
        <w:t>ooś</w:t>
      </w:r>
      <w:proofErr w:type="spellEnd"/>
      <w:r>
        <w:rPr>
          <w:sz w:val="24"/>
        </w:rPr>
        <w:t>”),</w:t>
      </w:r>
    </w:p>
    <w:p w:rsidR="00A526F7" w:rsidRDefault="00DE4193">
      <w:pPr>
        <w:ind w:left="14" w:right="105" w:firstLine="3893"/>
      </w:pPr>
      <w:r>
        <w:t>zawiadamiam strony postępowania o przedłużeniu terminu załat</w:t>
      </w:r>
      <w:r>
        <w:t>wienia sprawy dla postępowania wszczętego na wniosek POLEKO GROUP Sp. z o.o. w przedmiocie wydania decyzji o środowiskowych uwarunkowaniach dla przedsięwzięcia pod nazwą „Zbieranie odpadów tworzyw sztucznych” planowanego w miejscowości Stary Węgliniec na t</w:t>
      </w:r>
      <w:r>
        <w:t>erenie działki oznaczonej ewidencyjnie numerem 619/3 (Obr. 0007, stary Węgliniec 1, AM-1).</w:t>
      </w:r>
    </w:p>
    <w:p w:rsidR="00A526F7" w:rsidRDefault="00DE4193">
      <w:pPr>
        <w:ind w:left="14" w:right="105"/>
      </w:pPr>
      <w:r>
        <w:t xml:space="preserve">Przedłużenie postępowania administracyjnego w przedmiotowej sprawie wynika z uwagi na konieczność wystąpienia w trybie art. 113 S 2 k.p.a. do Dyrektora Państwowego </w:t>
      </w:r>
      <w:r>
        <w:t xml:space="preserve">Gospodarstwa Wodnego Wody Polskie - Zarząd Zlewni w Lwówku Śląskim o dokonanie wyjaśnienia wątpliwości zawartych w piśmie znak WR.ZZŚ.3.435.230.2021.MD (RKW-2021-6367). W toku dokonania wnikliwej analizy zebranego dotychczas materiału dowodowego ustalono, </w:t>
      </w:r>
      <w:r>
        <w:t>że postanowienie wydane przez Dyrektora Gospodarstwa Wodnego Zarządu Zlewni w Lwówku Śląskim w opinii organu prowadzącego postępowanie zawiera szereg wątpliwości oraz sprzeczności, które należy wyjaśnić w trybie przywołanego wyżej art. 113} 2 k.p.a. Dokona</w:t>
      </w:r>
      <w:r>
        <w:t xml:space="preserve">nie wyjaśnienia jest kluczowe dla dalszego trybu i toku postępowania administracyjnego w przedmiocie wydania decyzji o środowiskowych uwarunkowaniach dla przedmiotowego przedsięwzięcia. Nowy przewidywany termin załatwienia sprawy wskazuje się do </w:t>
      </w:r>
      <w:r>
        <w:rPr>
          <w:u w:val="single" w:color="000000"/>
        </w:rPr>
        <w:t>dnia 17 st</w:t>
      </w:r>
      <w:r>
        <w:rPr>
          <w:u w:val="single" w:color="000000"/>
        </w:rPr>
        <w:t>ycznia 2021 r.</w:t>
      </w:r>
    </w:p>
    <w:p w:rsidR="00A526F7" w:rsidRDefault="00DE4193">
      <w:pPr>
        <w:spacing w:after="35"/>
        <w:ind w:left="14" w:right="105"/>
      </w:pPr>
      <w:r>
        <w:t xml:space="preserve">W związku z faktem, że liczba stron postępowania przekracza 10 zgodnie z art. 74 ust. 3 </w:t>
      </w:r>
      <w:proofErr w:type="spellStart"/>
      <w:r>
        <w:t>u.o.o.ś</w:t>
      </w:r>
      <w:proofErr w:type="spellEnd"/>
      <w:r>
        <w:t>., stosuje się przepis art. 49 k.p.a., tj. zawiadamianie stron o decyzjach i innych czynnościach organu administracji publicznej przez obwieszczen</w:t>
      </w:r>
      <w:r>
        <w:t xml:space="preserve">ie podawane do publicznej wiadomości. W takim przypadku doręczenie uważa się za dokonane </w:t>
      </w:r>
      <w:r>
        <w:rPr>
          <w:u w:val="single" w:color="000000"/>
        </w:rPr>
        <w:t>po upływi</w:t>
      </w:r>
      <w:bookmarkStart w:id="0" w:name="_GoBack"/>
      <w:bookmarkEnd w:id="0"/>
      <w:r>
        <w:rPr>
          <w:u w:val="single" w:color="000000"/>
        </w:rPr>
        <w:t>e 14 dni od dnia publicznego ogłoszenia.</w:t>
      </w:r>
    </w:p>
    <w:p w:rsidR="00A526F7" w:rsidRDefault="00DE4193">
      <w:pPr>
        <w:ind w:left="14" w:right="105"/>
      </w:pPr>
      <w:r>
        <w:t xml:space="preserve">Jednocześnie informuję, że zgodnie z art. 10 S 1 ustawy k.p.a., strony postępowania mają prawo do czynnego udziału w </w:t>
      </w:r>
      <w:r>
        <w:t xml:space="preserve">każdym stadium postępowania oraz możliwość wypowiedzenia się co do zebranych materiałów, dowodów i zgłoszonych żądań. Ponadto na podstawie art. 73 S I </w:t>
      </w:r>
      <w:proofErr w:type="spellStart"/>
      <w:r>
        <w:t>kp.a</w:t>
      </w:r>
      <w:proofErr w:type="spellEnd"/>
      <w:r>
        <w:t>. strony mają prawo wglądu w akta sprawy, sporządzania z nich notatek, kopii lub odpisów. Z aktami sp</w:t>
      </w:r>
      <w:r>
        <w:t xml:space="preserve">rawy </w:t>
      </w:r>
      <w:r>
        <w:rPr>
          <w:rFonts w:ascii="Calibri" w:eastAsia="Calibri" w:hAnsi="Calibri" w:cs="Calibri"/>
        </w:rPr>
        <w:t>można się zapoznać w siedzibie Urzędu Gminy i Miasta w Węglińcu przy ul. Sikorskiego 3, pok. nr 12 w godzinach: pon. 7</w:t>
      </w:r>
      <w:r>
        <w:rPr>
          <w:rFonts w:ascii="Calibri" w:eastAsia="Calibri" w:hAnsi="Calibri" w:cs="Calibri"/>
          <w:vertAlign w:val="superscript"/>
        </w:rPr>
        <w:t>00</w:t>
      </w:r>
      <w:r>
        <w:rPr>
          <w:rFonts w:ascii="Calibri" w:eastAsia="Calibri" w:hAnsi="Calibri" w:cs="Calibri"/>
        </w:rPr>
        <w:t>-16</w:t>
      </w:r>
      <w:r>
        <w:rPr>
          <w:rFonts w:ascii="Calibri" w:eastAsia="Calibri" w:hAnsi="Calibri" w:cs="Calibri"/>
          <w:vertAlign w:val="superscript"/>
        </w:rPr>
        <w:t xml:space="preserve">00 </w:t>
      </w:r>
      <w:r>
        <w:rPr>
          <w:rFonts w:ascii="Calibri" w:eastAsia="Calibri" w:hAnsi="Calibri" w:cs="Calibri"/>
        </w:rPr>
        <w:t>, wt.-czw. 7</w:t>
      </w:r>
      <w:r>
        <w:rPr>
          <w:rFonts w:ascii="Calibri" w:eastAsia="Calibri" w:hAnsi="Calibri" w:cs="Calibri"/>
          <w:vertAlign w:val="superscript"/>
        </w:rPr>
        <w:t>00</w:t>
      </w:r>
      <w:r>
        <w:rPr>
          <w:rFonts w:ascii="Calibri" w:eastAsia="Calibri" w:hAnsi="Calibri" w:cs="Calibri"/>
        </w:rPr>
        <w:t>-15</w:t>
      </w:r>
      <w:r>
        <w:rPr>
          <w:rFonts w:ascii="Calibri" w:eastAsia="Calibri" w:hAnsi="Calibri" w:cs="Calibri"/>
          <w:vertAlign w:val="superscript"/>
        </w:rPr>
        <w:t>00</w:t>
      </w:r>
      <w:r>
        <w:rPr>
          <w:rFonts w:ascii="Calibri" w:eastAsia="Calibri" w:hAnsi="Calibri" w:cs="Calibri"/>
        </w:rPr>
        <w:t>, pt. 7</w:t>
      </w:r>
      <w:r>
        <w:rPr>
          <w:rFonts w:ascii="Calibri" w:eastAsia="Calibri" w:hAnsi="Calibri" w:cs="Calibri"/>
          <w:vertAlign w:val="superscript"/>
        </w:rPr>
        <w:t>00</w:t>
      </w:r>
      <w:r>
        <w:rPr>
          <w:rFonts w:ascii="Calibri" w:eastAsia="Calibri" w:hAnsi="Calibri" w:cs="Calibri"/>
        </w:rPr>
        <w:t>-14</w:t>
      </w:r>
      <w:r>
        <w:rPr>
          <w:rFonts w:ascii="Calibri" w:eastAsia="Calibri" w:hAnsi="Calibri" w:cs="Calibri"/>
          <w:vertAlign w:val="superscript"/>
        </w:rPr>
        <w:t>00</w:t>
      </w:r>
      <w:r>
        <w:rPr>
          <w:rFonts w:ascii="Calibri" w:eastAsia="Calibri" w:hAnsi="Calibri" w:cs="Calibri"/>
        </w:rPr>
        <w:t>.</w:t>
      </w:r>
    </w:p>
    <w:p w:rsidR="00A526F7" w:rsidRDefault="00DE4193">
      <w:pPr>
        <w:spacing w:after="1084"/>
        <w:ind w:left="130" w:right="5"/>
      </w:pPr>
      <w:r>
        <w:rPr>
          <w:rFonts w:ascii="Calibri" w:eastAsia="Calibri" w:hAnsi="Calibri" w:cs="Calibri"/>
        </w:rPr>
        <w:lastRenderedPageBreak/>
        <w:t>Niniejsze zawiadomienie zostaje podane stronom do publicznej wiadomości przez zamieszczeni</w:t>
      </w:r>
      <w:r>
        <w:rPr>
          <w:rFonts w:ascii="Calibri" w:eastAsia="Calibri" w:hAnsi="Calibri" w:cs="Calibri"/>
        </w:rPr>
        <w:t xml:space="preserve">e na stronie internetowej Biuletynu Informacji Publicznej Urzędu Gminy i Miasta w Węglińcu </w:t>
      </w:r>
      <w:r>
        <w:rPr>
          <w:rFonts w:ascii="Calibri" w:eastAsia="Calibri" w:hAnsi="Calibri" w:cs="Calibri"/>
          <w:u w:val="single" w:color="000000"/>
        </w:rPr>
        <w:t xml:space="preserve">http://www.wegliniec.bip.pbox.pl/public/ </w:t>
      </w:r>
      <w:r>
        <w:rPr>
          <w:rFonts w:ascii="Calibri" w:eastAsia="Calibri" w:hAnsi="Calibri" w:cs="Calibri"/>
        </w:rPr>
        <w:t>a także za pomocą wywieszenia na tablicy ogłoszeń Urzędu Gminy i Miasta w Węglińcu oraz wywieszenia na tablicy ogłoszeń w mi</w:t>
      </w:r>
      <w:r>
        <w:rPr>
          <w:rFonts w:ascii="Calibri" w:eastAsia="Calibri" w:hAnsi="Calibri" w:cs="Calibri"/>
        </w:rPr>
        <w:t>ejscowości planowanego przedsięwzięcia.</w:t>
      </w:r>
    </w:p>
    <w:p w:rsidR="00A526F7" w:rsidRDefault="00DE4193" w:rsidP="00DE4193">
      <w:pPr>
        <w:pStyle w:val="Nagwek1"/>
        <w:tabs>
          <w:tab w:val="center" w:pos="7241"/>
          <w:tab w:val="center" w:pos="7855"/>
        </w:tabs>
        <w:ind w:left="0"/>
      </w:pPr>
      <w:r>
        <w:tab/>
      </w:r>
    </w:p>
    <w:p w:rsidR="00A526F7" w:rsidRDefault="00DE4193">
      <w:pPr>
        <w:spacing w:after="122" w:line="259" w:lineRule="auto"/>
        <w:ind w:left="120" w:right="0" w:firstLine="0"/>
        <w:jc w:val="left"/>
      </w:pPr>
      <w:r>
        <w:rPr>
          <w:rFonts w:ascii="Calibri" w:eastAsia="Calibri" w:hAnsi="Calibri" w:cs="Calibri"/>
          <w:u w:val="single" w:color="000000"/>
        </w:rPr>
        <w:t>O</w:t>
      </w:r>
      <w:r>
        <w:rPr>
          <w:rFonts w:ascii="Calibri" w:eastAsia="Calibri" w:hAnsi="Calibri" w:cs="Calibri"/>
          <w:u w:val="single" w:color="000000"/>
        </w:rPr>
        <w:t>trzymują:</w:t>
      </w:r>
    </w:p>
    <w:p w:rsidR="00A526F7" w:rsidRDefault="00DE4193">
      <w:pPr>
        <w:spacing w:after="754" w:line="229" w:lineRule="auto"/>
        <w:ind w:left="115" w:right="7070" w:firstLine="24"/>
      </w:pPr>
      <w:r>
        <w:rPr>
          <w:rFonts w:ascii="Calibri" w:eastAsia="Calibri" w:hAnsi="Calibri" w:cs="Calibri"/>
        </w:rPr>
        <w:t>1) strony postępowania 2) wnioskodawca</w:t>
      </w:r>
    </w:p>
    <w:p w:rsidR="00A526F7" w:rsidRDefault="00DE4193">
      <w:pPr>
        <w:spacing w:after="0" w:line="259" w:lineRule="auto"/>
        <w:ind w:left="106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867401" cy="9147"/>
                <wp:effectExtent l="0" t="0" r="0" b="0"/>
                <wp:docPr id="6168" name="Group 6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1" cy="9147"/>
                          <a:chOff x="0" y="0"/>
                          <a:chExt cx="5867401" cy="9147"/>
                        </a:xfrm>
                      </wpg:grpSpPr>
                      <wps:wsp>
                        <wps:cNvPr id="6167" name="Shape 6167"/>
                        <wps:cNvSpPr/>
                        <wps:spPr>
                          <a:xfrm>
                            <a:off x="0" y="0"/>
                            <a:ext cx="5867401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01" h="9147">
                                <a:moveTo>
                                  <a:pt x="0" y="4573"/>
                                </a:moveTo>
                                <a:lnTo>
                                  <a:pt x="5867401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168" style="width:462pt;height:0.720215pt;mso-position-horizontal-relative:char;mso-position-vertical-relative:line" coordsize="58674,91">
                <v:shape id="Shape 6167" style="position:absolute;width:58674;height:91;left:0;top:0;" coordsize="5867401,9147" path="m0,4573l5867401,4573">
                  <v:stroke weight="0.72021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A526F7" w:rsidRDefault="00DE4193">
      <w:pPr>
        <w:spacing w:after="0" w:line="245" w:lineRule="auto"/>
        <w:ind w:left="106" w:right="7325" w:firstLine="14"/>
      </w:pPr>
      <w:r>
        <w:rPr>
          <w:rFonts w:ascii="Calibri" w:eastAsia="Calibri" w:hAnsi="Calibri" w:cs="Calibri"/>
          <w:sz w:val="18"/>
        </w:rPr>
        <w:t>Sporządził: Marek Pańków tel. 75-77-11-435 (wew.53) e-mail: pankow@wegliniec.pl</w:t>
      </w:r>
    </w:p>
    <w:sectPr w:rsidR="00A526F7">
      <w:pgSz w:w="11779" w:h="16718"/>
      <w:pgMar w:top="1427" w:right="1066" w:bottom="351" w:left="129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6F7"/>
    <w:rsid w:val="00A526F7"/>
    <w:rsid w:val="00DE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3F037"/>
  <w15:docId w15:val="{3DC73E55-97AE-4D54-B903-7B157E534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" w:line="364" w:lineRule="auto"/>
      <w:ind w:left="29" w:right="115" w:firstLine="705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0"/>
      <w:ind w:left="7080"/>
      <w:outlineLvl w:val="0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2022-01-28T12:15:00Z</dcterms:created>
  <dcterms:modified xsi:type="dcterms:W3CDTF">2022-01-28T12:15:00Z</dcterms:modified>
</cp:coreProperties>
</file>