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1/22/2022</w:t>
        <w:br/>
        <w:t>Składu Orzekającego Regionalnej Izby Obrachunkowej we Wrocławiu</w:t>
        <w:br/>
        <w:t>z dnia 4 lutego 2022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opinii o prawidłowości planowanej kwoty długu przedstawionej w uchwałach Rady</w:t>
        <w:br/>
        <w:t>Miejskiej Węgłińca z dnia 30 grudnia 2021 r. nr 743/XLIII/21 w sprawie przyjęcia Wieloletniej</w:t>
        <w:br/>
        <w:t>Prognozy Finansowej Gminy i Miasta Węgliniec oraz nr 744/XLIII/21 w sprawie budżetu</w:t>
        <w:br/>
        <w:t>gminy Węgliniec na 2022 rok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230 ust. 4 ustawy z dnia 27 sierpnia 2009 r. o finansach publicznych (Dz. U. z</w:t>
        <w:br/>
        <w:t>2021 r. poz. 305 z późn. zm), w związku z art. 19 ust. 2 ustawy z dnia 7 października 1992 r. o</w:t>
        <w:br/>
        <w:t>regionalnych izbach obrachunkowych (Dz. U. z 2019 r. poz. 2137 i z 2021 r. poz. 1927 ) oraz</w:t>
        <w:br/>
        <w:t>zarządzenia nr 17/21 Prezesa Regionalnej Izby Obrachunkowej we Wrocławiu z dnia 16 listopada</w:t>
        <w:br/>
        <w:t>2021 r. w sprawie wyznaczenia składów orzekających i ich przewodniczących, Skład Orzekający</w:t>
        <w:br/>
        <w:t>Regionalnej Izby Obrachunkowej we Wrocławiu, w osobach: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4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Magdalena Macias — przewodnicząca,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5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Joanna Stylska — członek,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</w:tabs>
        <w:bidi w:val="0"/>
        <w:spacing w:before="0" w:after="10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Arkadiusz Babczuk — członek,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wydaje opinię pozytywną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prawidłowości planowanej kwoty długu przedstawionej w uchwałach Rady Miejskiej Węgłińca z</w:t>
        <w:br/>
        <w:t>dnia 30 grudnia 2021 r. nr 743/XLIII/21 w sprawie przyjęcia Wieloletniej Prognozy Finansowej</w:t>
        <w:br/>
        <w:t>Gminy i Miasta Węgliniec oraz nr 744/XLIlI/21 w sprawie budżetu gminy Węgliniec na 2022 rok.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Obowiązek przedstawienia przez regionalną izbę obrachunkową, na podstawie przyjętej przez</w:t>
        <w:br/>
        <w:t>jednostkę samorządu terytorialnego wieloletniej prognozy finansowej oraz uchwały budżetowej, opinii</w:t>
        <w:br/>
        <w:t>o prawidłowości planowanej kwoty długu wynika z postanowień art. 230 ust. 4 ustawy z dnia 27</w:t>
        <w:br/>
        <w:t>sierpnia 2009 r. o finansach publicznych (Dz. U. z 2021 r. poz. 305 z późn. zm., zwanej dalej - ufp).</w:t>
        <w:br/>
        <w:t>Podstawą wydania opinii jest ocena prawidłowości planowanej kwoty długu, a w szczególności</w:t>
        <w:br/>
        <w:t>poziomu kształtowania się wskaźników zadłużenia w okresie spłaty długu.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 Orzekający na podstawie przekazanej w formie dokumentu elektronicznego w dniu 7 stycznia</w:t>
        <w:br/>
        <w:t>2022 roku uchwały Rady Miejskiej Węgłińca z dnia 30 grudnia 2021 r. nr 743/XLIII/21 w sprawie</w:t>
        <w:br/>
        <w:t>przyjęcia Wieloletniej Prognozy Finansowej Gminy i Miasta Węgliniec oraz przekazanej 14 stycznia</w:t>
        <w:br/>
        <w:t>2022 roku uchwały Rady Miejskiej Węgłińca nr 744/XLIII/21 z dnia 30 grudnia 2021 r. w w sprawie</w:t>
        <w:br/>
        <w:t>budżetu gminy Węgliniec na 2022 rok, stwierdził co następuje.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Wieloletnią prognozę finansową wraz z prognozą kwoty długu sporządzono na łata 2022 - 2040, co</w:t>
        <w:br/>
        <w:t>spełnia wymogi art. 227 ufp. W każdym roku objętym prognozą określono wielkości, o których mowa</w:t>
        <w:br/>
        <w:t>w art. 226 ust. 1 ufp oraz dołączono objaśnienia przyjętych w prognozie wartości.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Ujęte w prognozie na 2022 rok kwoty dochodów, wydatków, przychodów i rozchodów budżetu</w:t>
        <w:br/>
        <w:t>oraz długu są zgodne z kwotami ujętymi w uchwale budżetowej na 2022 rok, co spełnia wymogi art.</w:t>
        <w:br/>
        <w:t>229 ufp.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Planowana w 2022 roku kwota przychodów wynosi 5.540.000,00 zł, w tym z tytułu planowanego</w:t>
        <w:br/>
        <w:t>do zaciągnięcia kredytu - 2.300.000,00 zł. Wielkość rozchodów stanowi kwotę 1.216.400,00 zł z</w:t>
        <w:br/>
        <w:t>tytułu spłat rat kredytów pożyczek. W kolejnych latach objętych wieloletnią prognozą finansową nie</w:t>
        <w:br/>
        <w:t>planuje się przychodów z tytułu zwrotnych źródeł finansowania a źródłem spłaty długu są</w:t>
        <w:br/>
        <w:t>prognozowane nadwyżki budżetu.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0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Prognozowana kwota długu na koniec 2022 roku wynosi 14.283.429,00 zł. Na kwotę długu</w:t>
        <w:br/>
        <w:t>składają się kredyty i pożyczki zaciągnięte w latach poprzednich oraz planowany do zaciągnięcia</w:t>
        <w:br/>
        <w:t>kredyt w 2022 roku. Spłata długu nastąpi do roku 2040. Jak wynika z wieloletniej prognozy</w:t>
        <w:br/>
        <w:t>finansowej obliczone na podstawie prognozowanych wielkości w łatach 2022 - 2040 relacje spłat</w:t>
        <w:br/>
        <w:t>zobowiązań finansowych i kosztów ich obsługi określone w art. 243 ufp, przy zastosowaniu w latach</w:t>
        <w:br/>
        <w:t>2022 - 2025 średnich arytmetycznych z ostatnich siedmiu lat, nie przekraczają dopuszczalnych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poziomów obciążenia budżetu ich spłatą. Skład Orzekający zwraca jednak uwagę, że przestrzeganie</w:t>
        <w:br/>
        <w:t>limitów określonych przepisami o finansach publicznych nie chroni przed utratą zdolności do</w:t>
        <w:br/>
        <w:t>finansowania właściwej realizacji zadań własnych gminy, co organy gminy winny mieć na uwadze</w:t>
        <w:br/>
        <w:t>planując zaciąganie zobowiązań długoterminowych.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Opinia - zgodnie z art. 230 ust. 4 ufp - podlega publikacji przez jednostkę samorządu</w:t>
        <w:br/>
        <w:t>terytorialnego na zasadach określonych w ustawie z dnia 6 września 2001 r. o dostępie do informacji</w:t>
        <w:br/>
        <w:t>publicznej (Dz.U. z 2020 r. poz. 2176 oraz z 2021 r. poz. 1598) w terminie 7 dni od dnia jej</w:t>
        <w:br/>
        <w:t>otrzymania.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267" w:right="1230" w:bottom="1089" w:left="1169" w:header="839" w:footer="661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 niniejszej uchwały przysługuje zgodnie z art. 20 ust. 1 ustawy o regionalnych izbach</w:t>
        <w:br/>
        <w:t>obrachunkowych odwołanie do Kolegium Regionalnej Izby Obrachunkowej we Wrocławiu w terminie</w:t>
        <w:br/>
        <w:t>14 dni od dnia doręczenia uchwały.</w:t>
      </w: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23" w:right="0" w:bottom="132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framePr w:w="1598" w:h="468" w:wrap="none" w:vAnchor="text" w:hAnchor="page" w:x="9420" w:y="21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left"/>
      </w:pPr>
      <w:r>
        <w:rPr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ODNICZĄCY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Orzekającego</w:t>
      </w:r>
    </w:p>
    <w:p>
      <w:pPr>
        <w:pStyle w:val="Style7"/>
        <w:keepNext w:val="0"/>
        <w:keepLines w:val="0"/>
        <w:framePr w:w="655" w:h="443" w:wrap="none" w:vAnchor="text" w:hAnchor="page" w:x="8466" w:y="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</w:t>
      </w:r>
    </w:p>
    <w:p>
      <w:pPr>
        <w:pStyle w:val="Style7"/>
        <w:keepNext w:val="0"/>
        <w:keepLines w:val="0"/>
        <w:framePr w:w="655" w:h="443" w:wrap="none" w:vAnchor="text" w:hAnchor="page" w:x="8466" w:y="57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Sk</w:t>
      </w:r>
    </w:p>
    <w:p>
      <w:pPr>
        <w:pStyle w:val="Style10"/>
        <w:keepNext w:val="0"/>
        <w:keepLines w:val="0"/>
        <w:framePr w:w="850" w:h="266" w:wrap="none" w:vAnchor="text" w:hAnchor="page" w:x="8678" w:y="7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mgr lyag</w:t>
      </w:r>
    </w:p>
    <w:p>
      <w:pPr>
        <w:pStyle w:val="Style7"/>
        <w:keepNext w:val="0"/>
        <w:keepLines w:val="0"/>
        <w:framePr w:w="518" w:h="252" w:wrap="none" w:vAnchor="text" w:hAnchor="page" w:x="10302" w:y="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i/>
          <w:iCs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acias</w:t>
      </w:r>
    </w:p>
    <w:p>
      <w:pPr>
        <w:widowControl w:val="0"/>
        <w:spacing w:line="360" w:lineRule="exact"/>
      </w:pPr>
      <w:r>
        <w:drawing>
          <wp:anchor distT="43180" distB="0" distL="361315" distR="980440" simplePos="0" relativeHeight="62914690" behindDoc="1" locked="0" layoutInCell="1" allowOverlap="1">
            <wp:simplePos x="0" y="0"/>
            <wp:positionH relativeFrom="page">
              <wp:posOffset>5736590</wp:posOffset>
            </wp:positionH>
            <wp:positionV relativeFrom="paragraph">
              <wp:posOffset>55880</wp:posOffset>
            </wp:positionV>
            <wp:extent cx="280670" cy="4572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8067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5400" distL="0" distR="315595" simplePos="0" relativeHeight="62914691" behindDoc="1" locked="0" layoutInCell="1" allowOverlap="1">
            <wp:simplePos x="0" y="0"/>
            <wp:positionH relativeFrom="page">
              <wp:posOffset>6033770</wp:posOffset>
            </wp:positionH>
            <wp:positionV relativeFrom="paragraph">
              <wp:posOffset>338455</wp:posOffset>
            </wp:positionV>
            <wp:extent cx="524510" cy="23177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2451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5772785</wp:posOffset>
            </wp:positionH>
            <wp:positionV relativeFrom="paragraph">
              <wp:posOffset>598805</wp:posOffset>
            </wp:positionV>
            <wp:extent cx="243840" cy="9779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43840" cy="977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23" w:right="868" w:bottom="1323" w:left="124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Nagłówek #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Podpis obrazu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DD5C78"/>
      <w:sz w:val="18"/>
      <w:szCs w:val="18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Arial" w:eastAsia="Arial" w:hAnsi="Arial" w:cs="Arial"/>
      <w:b w:val="0"/>
      <w:bCs w:val="0"/>
      <w:i/>
      <w:iCs/>
      <w:smallCaps w:val="0"/>
      <w:strike w:val="0"/>
      <w:color w:val="DD5C78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Nagłówek #1"/>
    <w:basedOn w:val="Normal"/>
    <w:link w:val="CharStyle6"/>
    <w:pPr>
      <w:widowControl w:val="0"/>
      <w:shd w:val="clear" w:color="auto" w:fill="auto"/>
      <w:spacing w:after="22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Podpis obrazu"/>
    <w:basedOn w:val="Normal"/>
    <w:link w:val="CharStyle8"/>
    <w:pPr>
      <w:widowControl w:val="0"/>
      <w:shd w:val="clear" w:color="auto" w:fill="auto"/>
      <w:spacing w:line="22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DD5C78"/>
      <w:sz w:val="18"/>
      <w:szCs w:val="18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/>
      <w:iCs/>
      <w:smallCaps w:val="0"/>
      <w:strike w:val="0"/>
      <w:color w:val="DD5C78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KM_C224e-20220214135237</dc:title>
  <dc:subject/>
  <dc:creator/>
  <cp:keywords/>
</cp:coreProperties>
</file>