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1/23/2022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1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Składu Orzekającego Regionalnej Izby Obrachunkowej we Wrocławiu</w:t>
        <w:br/>
        <w:t>z dnia 4 lutego 2022 r.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opinii o możliwości sfinansowania deficytu budżetu gminy Węgliniec</w:t>
        <w:br/>
        <w:t>przedstawionego w uchwale Rady Miejskiej Węglińca nr 744/XLIII/21 z dnia 30 grudnia 2021</w:t>
        <w:br/>
        <w:t>r. w sprawie budżetu gminy Węgliniec na 2022 rok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246 ust. 1 ustawy z dnia 27 sierpnia 2009 r. o finansach publicznych (Dz.U. z</w:t>
        <w:br/>
        <w:t>2021 r. poz. 305 z późn. zm), w związku z art. 19 ust. 2 ustawy z dnia 7 października 1992 r. o</w:t>
        <w:br/>
        <w:t>regionalnych izbach obrachunkowych (Dz. U. z 2019 r. poz. 2137 i z 2021 r. poz. 1927) oraz</w:t>
        <w:br/>
        <w:t>zarządzenia nr 17/21 Prezesa Regionalnej Izby Obrachunkowej we Wrocławiu z dnia 16 listopada</w:t>
        <w:br/>
        <w:t>2021 r. w sprawie wyznaczenia składów orzekających i ich przewodniczących, Skład Orzekający</w:t>
        <w:br/>
        <w:t>Regionalnej Izby Obrachunkowej we Wrocławiu, w osobach: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 — przewodnicząca,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Stylska — członek,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Arkadiusz Babczuk — członek,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wydaje opinię pozytywną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możliwości sfinansowania deficytu budżetu gminy Węgliniec przedstawionego w uchwale Rady</w:t>
        <w:br/>
        <w:t>Miejskiej Węglińca nr 744/XLIII/21 z dnia 30 grudnia 2021 r. w sprawie budżetu gminy Węgliniec na</w:t>
        <w:br/>
        <w:t>2022 rok.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art. 246 ust. 3 ustawy z dnia 27 sierpnia 2009 r. o finansach publicznych (Dz.U. z</w:t>
        <w:br/>
        <w:t>2021 r. poz. 305 z późn. zm., zwanej dalej - ufp), regionalna izba obrachunkowa na podstawie</w:t>
        <w:br/>
        <w:t>uchwały budżetowej przedstawia opinię w sprawie możliwości sfinansowania deficytu</w:t>
        <w:br/>
        <w:t>przedstawionego przez jednostkę samorządu terytorialnego.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wydanej opinii regionalna izba obrachunkowa ocenia możliwość sfinansowania deficytu</w:t>
        <w:br/>
        <w:t>wskazanymi źródłami jego finansowania oraz ich wpływ na kształtowanie się długu jednostki</w:t>
        <w:br/>
        <w:t>samorządu terytorialnego.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 Orzekający na podstawie przedłożonej w dniu 14 stycznia 2022 roku uchwały Rady Miejskiej</w:t>
        <w:br/>
        <w:t>Węglińca nr 744/XLIII/21 z dnia 30 grudnia 2021 r. w sprawie budżetu gminy Węgliniec na 2022 rok,</w:t>
        <w:br/>
        <w:t>stwierdził co następuje.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budżecie gminy na 2022 rok zaplanowano: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w wysokości - 43.455.234,63 zł, z tego: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bieżące - 36.768.965,05 zł,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majątkowe - 6.686.269,58 zł;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w wysokości - 47.778.834,63 zł, z tego: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bieżące - 36.721.344,29 zł,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majątkowe - 11.057.490,34 zł;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deficyt budżetu - 4.323.600,00 zł;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przychody w kwocie - 5.540.000,00 zł, z tego:</w:t>
        <w:br/>
        <w:t>- z tytułu planowanego kredytu - 2.300.000,00 zł,</w:t>
        <w:br/>
        <w:t>- nadwyżki budżetu jednostki samorządu terytorialnego z lat ubiegłych - 332.724,78 zł,</w:t>
        <w:br/>
        <w:t>- wolnych środków jako nadwyżki środków pieniężnych na rachunku bieżącym budżetu jednostki</w:t>
        <w:br/>
        <w:t>samorządu terytorialnego, wynikających z rozliczeń wyemitowanych papierów wartościowych,</w:t>
        <w:br/>
        <w:t>kredytów i pożyczek z lat ubiegłych - 1.707.275,22 zł,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niewykorzystanych środków pieniężnych na rachunku bieżącym budżetu, wynikających z rozliczenia</w:t>
        <w:br/>
        <w:t>dochodów i wydatków nimi finansowanych związanych ze szczególnymi zasadami wykonywania</w:t>
        <w:br/>
        <w:t>budżetu określonymi w odrębnych ustawach - 1.200.000,00 zł;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rozchody w kwocie - 1.216.400,00 zł z tytułu spłat rat kredytów i pożyczek.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Zaplanowany deficyt w kwocie 4.323.600,00 zł, zgodnie z postanowieniami § 3 ust. 1 uchwały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budżetowej, zostanie sfinansowany przychodami pochodzącymi z tytułu zaciągniętego kredytu, z</w:t>
        <w:br/>
        <w:t>niewykorzystanych środków pieniężnych na rachunku bieżącym budżetu, wynikających z rozliczenia</w:t>
        <w:br/>
        <w:t>dochodów i wydatków nimi finansowanych związanych ze szczególnymi zasadami wykonywania</w:t>
        <w:br/>
        <w:t>budżetu określonymi w odrębnych ustawach, z wolnych środków jako nadwyżki środków pieniężnych</w:t>
        <w:br/>
        <w:t>na rachunku bieżącym budżetu jednostki samorządu terytorialnego, wynikających z rozliczeń</w:t>
        <w:br/>
        <w:t>wyemitowanych papierów wartościowych, kredytów i pożyczek z lat ubiegłych. Wymienione źródła</w:t>
        <w:br/>
        <w:t>sfinansowania deficytu są zgodne z art. 217 ust. 2 pkt 2, 6, 8 ufp.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Łącznie z uchwałą budżetową na 2022 rok została przekazana w formie dokumentu elektronicznego</w:t>
        <w:br/>
        <w:t>uchwała Rady Miejskiej Węglińca nr 743/XLIII/21 z dnia 30 grudnia 2021 r. w sprawie przyjęcia</w:t>
        <w:br/>
        <w:t>Wieloletniej Prognozy Finansowej Gminy i Miasta Węgliniec, zawierająca prognozę kwoty długu i</w:t>
        <w:br/>
        <w:t>jego spłaty w łatach 2022-2040. Z prognozy tej wynika, że kwota długu na koniec 2022 roku</w:t>
        <w:br/>
        <w:t>wyniesie 14.283.429,00 zł. Na kwotę długu składają się kredyty i pożyczki zaciągnięte w latach</w:t>
        <w:br/>
        <w:t>poprzednich oraz kredyt planowany do zaciągnięcia w 2022 roku.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Jak wynika z wieloletniej prognozy finansowej obliczone na podstawie prognozowanych wielkości w</w:t>
        <w:br/>
        <w:t>latach 2022 - 2040 relacje spłat zobowiązań finansowych i kosztów ich obsługi określone w art. 243</w:t>
        <w:br/>
        <w:t>ufp, przy zastosowaniu w latach 2022 - 2025 średnich arytmetycznych z ostatnich siedmiu lat, nie</w:t>
        <w:br/>
        <w:t>przekraczają dopuszczalnych poziomów obciążenia budżetu ich spłatą. Skład Orzekający zwraca</w:t>
        <w:br/>
        <w:t>jednak uwagę, że przestrzeganie limitów określonych przepisami o finansach publicznych nie chroni</w:t>
        <w:br/>
        <w:t>przed utratą zdolności do finansowania właściwej realizacji zadań własnych gminy, co organy gminy</w:t>
        <w:br/>
        <w:t>winny mieć na uwadze planując zaciąganie zobowiązań długoterminowych.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Niniejsza uchwała Składu Orzekającego, zgodnie z art. 246 ust. 2 ufp, powinna być</w:t>
        <w:br/>
        <w:t>opublikowana przez jednostkę samorządu terytorialnego na zasadach określonych w ustawie z dnia 6</w:t>
        <w:br/>
        <w:t>września 2001 r. o dostępie do informacji publicznej (Dz.U. z 2020 r. poz. 2176 oraz z 2021 r. poz.</w:t>
        <w:br/>
        <w:t>1598) w terminie 7 dni od dnia jej otrzymania.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4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5266690</wp:posOffset>
                </wp:positionH>
                <wp:positionV relativeFrom="paragraph">
                  <wp:posOffset>495300</wp:posOffset>
                </wp:positionV>
                <wp:extent cx="1618615" cy="22161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221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color w:val="D75D75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l-PL" w:eastAsia="pl-PL" w:bidi="pl-PL"/>
                              </w:rPr>
                              <w:t>PRZEWODNICZĄCY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14.69999999999999pt;margin-top:39.pt;width:127.45pt;height:17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color w:val="D75D75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PRZEWODNICZĄCY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28930" distL="242570" distR="240030" simplePos="0" relativeHeight="125829380" behindDoc="0" locked="0" layoutInCell="1" allowOverlap="1">
                <wp:simplePos x="0" y="0"/>
                <wp:positionH relativeFrom="page">
                  <wp:posOffset>5509260</wp:posOffset>
                </wp:positionH>
                <wp:positionV relativeFrom="paragraph">
                  <wp:posOffset>660400</wp:posOffset>
                </wp:positionV>
                <wp:extent cx="1120140" cy="15557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01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Sk ad </w:t>
                            </w: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l-PL" w:eastAsia="pl-PL" w:bidi="pl-PL"/>
                              </w:rPr>
                              <w:t>j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 Orzekającego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33.80000000000001pt;margin-top:52.pt;width:88.200000000000003pt;height:12.25pt;z-index:-125829373;mso-wrap-distance-left:19.100000000000001pt;mso-wrap-distance-right:18.900000000000002pt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Sk ad </w:t>
                      </w:r>
                      <w:r>
                        <w:rPr>
                          <w:smallCaps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l-PL" w:eastAsia="pl-PL" w:bidi="pl-PL"/>
                        </w:rPr>
                        <w:t>j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 Orzekającego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36195" distL="114300" distR="1223010" simplePos="0" relativeHeight="125829382" behindDoc="0" locked="0" layoutInCell="1" allowOverlap="1">
                <wp:simplePos x="0" y="0"/>
                <wp:positionH relativeFrom="page">
                  <wp:posOffset>5380990</wp:posOffset>
                </wp:positionH>
                <wp:positionV relativeFrom="paragraph">
                  <wp:posOffset>948690</wp:posOffset>
                </wp:positionV>
                <wp:extent cx="265430" cy="16002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3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D75D7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mgr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23.69999999999999pt;margin-top:74.700000000000003pt;width:20.900000000000002pt;height:12.6pt;z-index:-125829371;mso-wrap-distance-left:9.pt;mso-wrap-distance-top:22.699999999999999pt;mso-wrap-distance-right:96.299999999999997pt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D75D75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mgr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0" distL="372745" distR="114300" simplePos="0" relativeHeight="125829384" behindDoc="0" locked="0" layoutInCell="1" allowOverlap="1">
                <wp:simplePos x="0" y="0"/>
                <wp:positionH relativeFrom="page">
                  <wp:posOffset>5639435</wp:posOffset>
                </wp:positionH>
                <wp:positionV relativeFrom="paragraph">
                  <wp:posOffset>806450</wp:posOffset>
                </wp:positionV>
                <wp:extent cx="1115695" cy="3384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\4agc)S/^rfa^ac/as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4.05000000000001pt;margin-top:63.5pt;width:87.850000000000009pt;height:26.650000000000002pt;z-index:-125829369;mso-wrap-distance-left:29.350000000000001pt;mso-wrap-distance-top:11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\4agc)S/^rfa^ac/as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niniejszej uchwały przysługuje zgodnie z art. 20 ust. 1 ustawy o regionalnych izbach</w:t>
        <w:br/>
        <w:t>obrachunkowych odwołanie do Kolegium Regionalnej Izby Obrachunkowej we Wrocławiu w terminie</w:t>
        <w:br/>
        <w:t>14 dni od dnia doręczenia uchwały.</w:t>
      </w:r>
    </w:p>
    <w:sectPr>
      <w:footnotePr>
        <w:pos w:val="pageBottom"/>
        <w:numFmt w:val="decimal"/>
        <w:numRestart w:val="continuous"/>
      </w:footnotePr>
      <w:pgSz w:w="11900" w:h="16840"/>
      <w:pgMar w:top="1379" w:right="1262" w:bottom="966" w:left="1134" w:header="951" w:footer="53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color w:val="635AA2"/>
      <w:sz w:val="20"/>
      <w:szCs w:val="20"/>
      <w:u w:val="none"/>
    </w:rPr>
  </w:style>
  <w:style w:type="character" w:customStyle="1" w:styleId="CharStyle6">
    <w:name w:val="Tekst treści (3)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D75D75"/>
      <w:sz w:val="18"/>
      <w:szCs w:val="18"/>
      <w:u w:val="none"/>
    </w:rPr>
  </w:style>
  <w:style w:type="character" w:customStyle="1" w:styleId="CharStyle10">
    <w:name w:val="Tekst treści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Nagłówek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/>
      <w:iCs/>
      <w:smallCaps w:val="0"/>
      <w:strike w:val="0"/>
      <w:color w:val="635AA2"/>
      <w:sz w:val="20"/>
      <w:szCs w:val="20"/>
      <w:u w:val="none"/>
    </w:rPr>
  </w:style>
  <w:style w:type="paragraph" w:customStyle="1" w:styleId="Style5">
    <w:name w:val="Tekst treści (3)"/>
    <w:basedOn w:val="Normal"/>
    <w:link w:val="CharStyle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75D75"/>
      <w:sz w:val="18"/>
      <w:szCs w:val="18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Nagłówek #1"/>
    <w:basedOn w:val="Normal"/>
    <w:link w:val="CharStyle13"/>
    <w:pPr>
      <w:widowControl w:val="0"/>
      <w:shd w:val="clear" w:color="auto" w:fill="auto"/>
      <w:spacing w:after="22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KM_C224e-20220214133030</dc:title>
  <dc:subject/>
  <dc:creator/>
  <cp:keywords/>
</cp:coreProperties>
</file>