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FC" w:rsidRDefault="00797C1E">
      <w:pPr>
        <w:spacing w:after="42" w:line="218" w:lineRule="auto"/>
        <w:ind w:left="10" w:right="108" w:hanging="10"/>
        <w:jc w:val="center"/>
      </w:pPr>
      <w:bookmarkStart w:id="0" w:name="_GoBack"/>
      <w:r>
        <w:rPr>
          <w:sz w:val="24"/>
        </w:rPr>
        <w:t>Uchwała nr 1/28/2022</w:t>
      </w:r>
    </w:p>
    <w:p w:rsidR="000727FC" w:rsidRDefault="00797C1E">
      <w:pPr>
        <w:spacing w:after="198" w:line="218" w:lineRule="auto"/>
        <w:ind w:left="1298" w:right="1417" w:hanging="10"/>
        <w:jc w:val="center"/>
      </w:pPr>
      <w:r>
        <w:rPr>
          <w:sz w:val="24"/>
        </w:rPr>
        <w:t>Składu Orzekającego Regionalnej Izby Obrachunkowej we Wrocławiu z dnia 7 kwietnia 2022 r.</w:t>
      </w:r>
    </w:p>
    <w:bookmarkEnd w:id="0"/>
    <w:p w:rsidR="000727FC" w:rsidRDefault="00797C1E">
      <w:pPr>
        <w:spacing w:after="697" w:line="218" w:lineRule="auto"/>
        <w:ind w:left="10" w:right="0" w:hanging="10"/>
        <w:jc w:val="center"/>
      </w:pPr>
      <w:r>
        <w:rPr>
          <w:sz w:val="24"/>
        </w:rPr>
        <w:t>w sprawie opinii o przedłożonym przez Burmistrza Gminy i Miasta Węgliniec sprawozdaniu z wykonania budżetu Gminy Węgliniec za 2021 rok</w:t>
      </w:r>
    </w:p>
    <w:p w:rsidR="000727FC" w:rsidRDefault="00797C1E">
      <w:pPr>
        <w:spacing w:after="238"/>
        <w:ind w:left="79" w:right="280" w:firstLine="468"/>
      </w:pPr>
      <w:r>
        <w:t>Na podstawie art. 13 pkt 5 w związku z art. 19 ust. 2 ustawy z dnia 7 października 1992 r. o regionalnych izbach obrachun</w:t>
      </w:r>
      <w:r>
        <w:t>kowych (Dz.U. z 2019 r. poz. 2137 i z 2021 r. poz. 1927) oraz zarządzenia nr 17/21 Prezesa Regionalnej Izby Obrachunkowej we Wrocławiu z dnia 16 listopada 2021 r. w sprawie wyznaczenia składów orzekających i ich przewodniczących, Skład Orzekający Regionaln</w:t>
      </w:r>
      <w:r>
        <w:t>ej Izby Obrachunkowej we Wrocławiu, w osobach:</w:t>
      </w:r>
    </w:p>
    <w:p w:rsidR="000727FC" w:rsidRDefault="00797C1E">
      <w:pPr>
        <w:numPr>
          <w:ilvl w:val="0"/>
          <w:numId w:val="1"/>
        </w:numPr>
        <w:spacing w:after="37"/>
        <w:ind w:left="292" w:right="280" w:hanging="130"/>
      </w:pPr>
      <w:r>
        <w:t>Magdalena Macias — przewodnicząca,</w:t>
      </w:r>
    </w:p>
    <w:p w:rsidR="000727FC" w:rsidRDefault="00797C1E">
      <w:pPr>
        <w:numPr>
          <w:ilvl w:val="0"/>
          <w:numId w:val="1"/>
        </w:numPr>
        <w:spacing w:after="37"/>
        <w:ind w:left="292" w:right="280" w:hanging="130"/>
      </w:pPr>
      <w:r>
        <w:t xml:space="preserve">Joanna </w:t>
      </w:r>
      <w:proofErr w:type="spellStart"/>
      <w:r>
        <w:t>Stylska</w:t>
      </w:r>
      <w:proofErr w:type="spellEnd"/>
      <w:r>
        <w:t xml:space="preserve"> — członek,</w:t>
      </w:r>
    </w:p>
    <w:p w:rsidR="000727FC" w:rsidRDefault="00797C1E">
      <w:pPr>
        <w:numPr>
          <w:ilvl w:val="0"/>
          <w:numId w:val="1"/>
        </w:numPr>
        <w:spacing w:after="106" w:line="325" w:lineRule="auto"/>
        <w:ind w:left="292" w:right="280" w:hanging="130"/>
      </w:pPr>
      <w:r>
        <w:rPr>
          <w:sz w:val="24"/>
        </w:rPr>
        <w:t xml:space="preserve">Arkadiusz </w:t>
      </w:r>
      <w:proofErr w:type="spellStart"/>
      <w:r>
        <w:rPr>
          <w:sz w:val="24"/>
        </w:rPr>
        <w:t>Babczuk</w:t>
      </w:r>
      <w:proofErr w:type="spellEnd"/>
      <w:r>
        <w:rPr>
          <w:sz w:val="24"/>
        </w:rPr>
        <w:t xml:space="preserve"> — członek, wydaje opinię pozytywną</w:t>
      </w:r>
    </w:p>
    <w:p w:rsidR="000727FC" w:rsidRDefault="00797C1E">
      <w:pPr>
        <w:numPr>
          <w:ilvl w:val="0"/>
          <w:numId w:val="1"/>
        </w:numPr>
        <w:spacing w:after="350"/>
        <w:ind w:left="292" w:right="280" w:hanging="130"/>
      </w:pPr>
      <w:r>
        <w:t>przedłożonym przez Burmistrza Gminy i Miasta Węgliniec sprawozdaniu z wykonania budżetu Gminy W</w:t>
      </w:r>
      <w:r>
        <w:t>ęgliniec za 2021 rok.</w:t>
      </w:r>
    </w:p>
    <w:p w:rsidR="000727FC" w:rsidRDefault="00797C1E">
      <w:pPr>
        <w:spacing w:after="222" w:line="218" w:lineRule="auto"/>
        <w:ind w:left="10" w:right="194" w:hanging="10"/>
        <w:jc w:val="center"/>
      </w:pPr>
      <w:r>
        <w:rPr>
          <w:sz w:val="24"/>
        </w:rPr>
        <w:t>Uzasadnienie</w:t>
      </w:r>
    </w:p>
    <w:p w:rsidR="000727FC" w:rsidRDefault="00797C1E">
      <w:pPr>
        <w:ind w:left="79" w:right="280" w:firstLine="489"/>
      </w:pPr>
      <w:r>
        <w:t xml:space="preserve">Stosownie do przepisów art. 267 ust. 1 pkt 1 oraz ust. 3 ustawy z dnia 27 sierpnia 2009 r. o finansach publicznych (Dz.U. z 2021 r. poz. 305 - dalej </w:t>
      </w:r>
      <w:proofErr w:type="spellStart"/>
      <w:r>
        <w:t>ufp</w:t>
      </w:r>
      <w:proofErr w:type="spellEnd"/>
      <w:r>
        <w:t>) oraz S4b rozporządzenia Ministra Finansów z dnia 31 marca 2020 r. w sprawie określenia innych terminów</w:t>
      </w:r>
      <w:r>
        <w:t xml:space="preserve"> wypełniania obowiązków w zakresie ewidencji oraz w zakresie sporządzenia, zatwierdzenia, udostępnienia i przekazania do właściwego rejestru, jednostki lub organu sprawozdań lub informacji (Dz.U. z 2021 r. poz. 1832 oraz z 2022 r. poz. 561), wójt gminy (bu</w:t>
      </w:r>
      <w:r>
        <w:t>rmistrz, prezydent), w terminie do dnia 30 kwietnia 2022 roku, przedstawia radzie gminy oraz regionalnej izbie obrachunkowej sprawozdanie roczne z wykonania budżetu gminy za 2021 rok, zawierające zestawienie dochodów i wydatków wynikające z zamknięć rachun</w:t>
      </w:r>
      <w:r>
        <w:t>ków budżetu gminy, w szczegółowości nie mniejszej niż w uchwale budżetowej.</w:t>
      </w:r>
    </w:p>
    <w:p w:rsidR="000727FC" w:rsidRDefault="00797C1E">
      <w:pPr>
        <w:ind w:left="79" w:right="280"/>
      </w:pPr>
      <w:r>
        <w:t>Skład Orzekający wydał niniejszą opinię na podstawie analizy danych i informacji zawartych w sprawozdaniach z wykonania procesów gromadzenia środków publicznych i ich rozdysponowan</w:t>
      </w:r>
      <w:r>
        <w:t>ia (Rb), sporządzonych za okres od 1 stycznia do 31 grudnia 2021 roku oraz w przedłożonym 31 marca 2022 roku przez Burmistrza Gminy i Miasta Węgliniec sprawozdaniu rocznym z "konania budżetu Gminy Węgliniec za 2021 rok.</w:t>
      </w:r>
    </w:p>
    <w:p w:rsidR="000727FC" w:rsidRDefault="00797C1E">
      <w:pPr>
        <w:ind w:left="79" w:right="280"/>
      </w:pPr>
      <w:r>
        <w:t>Badając pod względem merytorycznym s</w:t>
      </w:r>
      <w:r>
        <w:t>prawozdanie z wykonania budżetu gminy za 2021 rok Skład Orzekający stwierdza, że:</w:t>
      </w:r>
    </w:p>
    <w:p w:rsidR="000727FC" w:rsidRDefault="00797C1E">
      <w:pPr>
        <w:numPr>
          <w:ilvl w:val="0"/>
          <w:numId w:val="2"/>
        </w:numPr>
        <w:ind w:right="280"/>
      </w:pPr>
      <w:r>
        <w:t>Plan dochodów i "datków budżetowych wykazany w sprawozdaniu uwzględnia zmiany wynikające z uchwał i zarządzeń organów gminy.</w:t>
      </w:r>
    </w:p>
    <w:p w:rsidR="000727FC" w:rsidRDefault="00797C1E">
      <w:pPr>
        <w:numPr>
          <w:ilvl w:val="0"/>
          <w:numId w:val="2"/>
        </w:numPr>
        <w:spacing w:after="37"/>
        <w:ind w:right="280"/>
      </w:pPr>
      <w:r>
        <w:t>Plany i wykonanie subwencji są zgodne z wielkości</w:t>
      </w:r>
      <w:r>
        <w:t>ami określonymi przez Ministra Finansów.</w:t>
      </w:r>
    </w:p>
    <w:p w:rsidR="000727FC" w:rsidRDefault="00797C1E">
      <w:pPr>
        <w:numPr>
          <w:ilvl w:val="0"/>
          <w:numId w:val="2"/>
        </w:numPr>
        <w:ind w:right="280"/>
      </w:pPr>
      <w:r>
        <w:t>Dochody budżetu ogółem zrealizowano w wysokości 49.310.359,54 zł co w stosunku do zaplanowanych wielkości wynosi 107,62%, w tym dochody bieżące wykonano w kwocie 43.270.135,17 zł, co stanowi 105,93%, a dochody mająt</w:t>
      </w:r>
      <w:r>
        <w:t>kowe w wy</w:t>
      </w:r>
      <w:r>
        <w:t xml:space="preserve">sokości 6.040.224,37 zł, co stanowi 121,50% wielkości planowanej. Wykonanie wpływów z poszczególnych źródeł zostało w </w:t>
      </w:r>
      <w:r>
        <w:t xml:space="preserve">sprawozdaniu omówione. Przedstawiono obszernie stan zaległości wobec budżetu, podejmowane </w:t>
      </w:r>
      <w:r>
        <w:t xml:space="preserve">działania oraz skutki obniżenia górnych </w:t>
      </w:r>
      <w:r>
        <w:t>stawek podatkowych, zastosowanych ulg i zwolnień.</w:t>
      </w:r>
    </w:p>
    <w:p w:rsidR="000727FC" w:rsidRDefault="00797C1E">
      <w:pPr>
        <w:numPr>
          <w:ilvl w:val="0"/>
          <w:numId w:val="2"/>
        </w:numPr>
        <w:ind w:right="280"/>
      </w:pPr>
      <w:r>
        <w:t>Wydatki zrealizowano w wysokości 47.558.363,59 zł, co w stosunku do planu stanowi 90,82%, w tym wydatki bieżące wy</w:t>
      </w:r>
      <w:r>
        <w:t>konano w kwocie 36.617.295,10 zł, co stanowi 94,83%, a wydatki majątkowe w kwocie 10.941.068,</w:t>
      </w:r>
      <w:r>
        <w:t xml:space="preserve">49 zł, co stanowi 79,57% wielkości planowanej. W sprawozdaniu omówiono realizację wydatków bieżących oraz wydatków inwestycyjnych w odniesieniu do </w:t>
      </w:r>
      <w:r>
        <w:t>poszczególnych zadań.</w:t>
      </w:r>
    </w:p>
    <w:p w:rsidR="000727FC" w:rsidRDefault="00797C1E">
      <w:pPr>
        <w:numPr>
          <w:ilvl w:val="0"/>
          <w:numId w:val="2"/>
        </w:numPr>
        <w:ind w:right="280"/>
      </w:pPr>
      <w:r>
        <w:t>W wyniku analizy sprawozdań „Rb-27S o dochodach budżetowych” oraz „Rb-28S o wydatkach b</w:t>
      </w:r>
      <w:r>
        <w:t>udżetowych” stwierdzono, że:</w:t>
      </w:r>
    </w:p>
    <w:p w:rsidR="000727FC" w:rsidRDefault="00797C1E">
      <w:pPr>
        <w:spacing w:after="457" w:line="259" w:lineRule="auto"/>
        <w:ind w:left="0" w:right="165" w:firstLine="0"/>
        <w:jc w:val="center"/>
      </w:pPr>
      <w:r>
        <w:t>2</w:t>
      </w:r>
    </w:p>
    <w:p w:rsidR="000727FC" w:rsidRDefault="00797C1E">
      <w:pPr>
        <w:ind w:left="79" w:right="280"/>
      </w:pPr>
      <w:r>
        <w:t>- opłaty za wydane zezwolenia na sprzedaż napojów alkoholowych określone w ustawie z dnia 26 października 1982 roku o wychowaniu w trzeźwości i przeciwdziałaniu alkoholizmowi (Dz.U. z 2021</w:t>
      </w:r>
    </w:p>
    <w:p w:rsidR="000727FC" w:rsidRDefault="00797C1E">
      <w:pPr>
        <w:ind w:left="79" w:right="280"/>
      </w:pPr>
      <w:r>
        <w:lastRenderedPageBreak/>
        <w:t>r. poz. 1119 ze zm.) zaplanowane w k</w:t>
      </w:r>
      <w:r>
        <w:t>wocie 131.000,00 zł zrealizowano w wy</w:t>
      </w:r>
      <w:r>
        <w:t>sokości 182.445,22 zł, co stanowi 139,27% planu;</w:t>
      </w:r>
    </w:p>
    <w:p w:rsidR="000727FC" w:rsidRDefault="00797C1E">
      <w:pPr>
        <w:numPr>
          <w:ilvl w:val="0"/>
          <w:numId w:val="3"/>
        </w:numPr>
        <w:ind w:right="280"/>
      </w:pPr>
      <w:r>
        <w:t>wydatki na realizację gminnego programu profilaktyki i rozwiązywania problemów alkoholowych wyniosły 149.204,90 z], co stanowi 96,03% planu;</w:t>
      </w:r>
    </w:p>
    <w:p w:rsidR="000727FC" w:rsidRDefault="00797C1E">
      <w:pPr>
        <w:numPr>
          <w:ilvl w:val="0"/>
          <w:numId w:val="3"/>
        </w:numPr>
        <w:ind w:right="280"/>
      </w:pPr>
      <w:r>
        <w:t>"datki związane z realizacją p</w:t>
      </w:r>
      <w:r>
        <w:t>rogramu zwalczania narkomanii wyniosły 4.328,41 zł, co stanowi 86,57% planu.</w:t>
      </w:r>
    </w:p>
    <w:p w:rsidR="000727FC" w:rsidRDefault="00797C1E">
      <w:pPr>
        <w:ind w:left="79" w:right="280"/>
      </w:pPr>
      <w:r>
        <w:t>W sprawozdaniu omówiono realizację zadań z gminnego programu profilaktyki i przeciwdziałania alkoholizmowi oraz zwalczania narkomanii;</w:t>
      </w:r>
    </w:p>
    <w:p w:rsidR="000727FC" w:rsidRDefault="00797C1E">
      <w:pPr>
        <w:numPr>
          <w:ilvl w:val="0"/>
          <w:numId w:val="4"/>
        </w:numPr>
        <w:ind w:right="280"/>
      </w:pPr>
      <w:r>
        <w:t>dochody uzyskane z opłat i kar za korzystani</w:t>
      </w:r>
      <w:r>
        <w:t>e ze środowiska w kwocie 2.459,31 zł zostały przeznaczone na finansowanie zadań związanych z ochroną środowiska;</w:t>
      </w:r>
    </w:p>
    <w:p w:rsidR="000727FC" w:rsidRDefault="00797C1E">
      <w:pPr>
        <w:numPr>
          <w:ilvl w:val="0"/>
          <w:numId w:val="4"/>
        </w:numPr>
        <w:ind w:right="280"/>
      </w:pPr>
      <w:r>
        <w:t>dochody uzyskane z opłat za gospodarowanie odpadami w</w:t>
      </w:r>
      <w:r>
        <w:t xml:space="preserve">yniosły 2.167.651,99 zł, co stanowi 97,04% kwoty planowanej; "datki związane z gospodarką </w:t>
      </w:r>
      <w:r>
        <w:t>odpadami wyniosły 2.550.268,33 zł, co stanowi 98,76% kwoty planowanej.</w:t>
      </w:r>
    </w:p>
    <w:p w:rsidR="000727FC" w:rsidRDefault="00797C1E">
      <w:pPr>
        <w:numPr>
          <w:ilvl w:val="0"/>
          <w:numId w:val="5"/>
        </w:numPr>
        <w:ind w:right="280"/>
      </w:pPr>
      <w:r>
        <w:t xml:space="preserve">W sprawozdaniu przedstawiono wykonanie przychodów i kosztów samorządowego zakładu budżetowego a także wykonanie dochodów rachunków dochodów jednostek, o których mowa w art. 223 ust. 1 </w:t>
      </w:r>
      <w:proofErr w:type="spellStart"/>
      <w:r>
        <w:t>u</w:t>
      </w:r>
      <w:r>
        <w:t>fp</w:t>
      </w:r>
      <w:proofErr w:type="spellEnd"/>
      <w:r>
        <w:t xml:space="preserve"> oraz "datków nimi finansowanych.</w:t>
      </w:r>
    </w:p>
    <w:p w:rsidR="000727FC" w:rsidRDefault="00797C1E">
      <w:pPr>
        <w:numPr>
          <w:ilvl w:val="0"/>
          <w:numId w:val="5"/>
        </w:numPr>
        <w:ind w:right="280"/>
      </w:pPr>
      <w:r>
        <w:t>W wyniku realizacji dochodów i wydatków budżetu gminy za 2021 rok powstała nadwyżka budżetowa w kwocie 1.751.995,95 zł, przy planowanym deficycie w wysokości 6.545.289,20 zł. Gmina w 2021 r. zaciągnęła kredyty i pożyczki</w:t>
      </w:r>
      <w:r>
        <w:t xml:space="preserve"> w łącznej kwocie 1.919.924,00 zł oraz dokonała spłaty rat pożyczek i kredytów długoterminowych w łącznej kwocie 2.466.333,80 zł. Łączna wartość zobowiązań z tytułu pożyczek i kredytów długoterminowych na dzień 31 gr</w:t>
      </w:r>
      <w:r>
        <w:t>udnia 2021 roku wynosiła 13.199.829,00 z</w:t>
      </w:r>
      <w:r>
        <w:t>ł. Gmina nie posiadała zobowiązań wymagalnych. Zobowiązania warunkowe z tytułu poręczeń udzielonych innym podmiotom wynosiły 58.300,00 zł.</w:t>
      </w:r>
    </w:p>
    <w:p w:rsidR="000727FC" w:rsidRDefault="00797C1E">
      <w:pPr>
        <w:numPr>
          <w:ilvl w:val="0"/>
          <w:numId w:val="5"/>
        </w:numPr>
        <w:spacing w:after="454"/>
        <w:ind w:right="280"/>
      </w:pPr>
      <w:r>
        <w:t>Wynik operacyjny budżetu za 2021 rok, stanowiący różnicę pomiędzy dochodami bieżącymi i wydatkami bieżącymi jest wielkością dodatnią i wynosi 6.652.840,07 zł. Omacza to, że zachowany został wy</w:t>
      </w:r>
      <w:r>
        <w:t xml:space="preserve">móg określony przepisami art. 242 ust. 2 </w:t>
      </w:r>
      <w:proofErr w:type="spellStart"/>
      <w:r>
        <w:t>ufp</w:t>
      </w:r>
      <w:proofErr w:type="spellEnd"/>
      <w:r>
        <w:t>, w myśl których na k</w:t>
      </w:r>
      <w:r>
        <w:t xml:space="preserve">oniec roku budżetowego wykonane wydatki bieżące nie mogą być wyższe, niż wykonane dochody bieżące powiększone o środki, o których mowa art. 217 ust. 2 pkt 5, 6, 7 i 8 </w:t>
      </w:r>
      <w:proofErr w:type="spellStart"/>
      <w:r>
        <w:t>ufp</w:t>
      </w:r>
      <w:proofErr w:type="spellEnd"/>
      <w:r>
        <w:t>.</w:t>
      </w:r>
    </w:p>
    <w:p w:rsidR="000727FC" w:rsidRDefault="00797C1E">
      <w:pPr>
        <w:spacing w:after="252"/>
        <w:ind w:left="79" w:right="280"/>
      </w:pPr>
      <w:r>
        <w:t>Biorąc pod uwagę przedstawione wy</w:t>
      </w:r>
      <w:r>
        <w:t xml:space="preserve">żej okoliczności, Skład Orzekający postanowił wydać </w:t>
      </w:r>
      <w:r>
        <w:t>pozytywną opinię o sprawozdaniu z wykonania budżetu gminy Węgliniec za 2021 rok. Jednocześnie wskazuje się, że ocena wydatkowania środków budżetowych pod kątem celowości i gospodarności należy do wyłącznej kompetencji rady gminy.</w:t>
      </w:r>
    </w:p>
    <w:p w:rsidR="000727FC" w:rsidRDefault="00797C1E">
      <w:pPr>
        <w:spacing w:after="617"/>
        <w:ind w:left="79" w:right="345" w:firstLine="460"/>
      </w:pPr>
      <w:r>
        <w:t>Od niniejszej uchwały przy</w:t>
      </w:r>
      <w:r>
        <w:t>sługuje zgodnie z art. 20 ust. 1 ustawy o regionalnych izbach obrachunkowych odwołanie do Kolegium Regionalnej Izby Obrachunkowej we Wrocławiu w terminie 14 dni od dnia doręczenia uchwały.</w:t>
      </w:r>
    </w:p>
    <w:p w:rsidR="000727FC" w:rsidRDefault="00797C1E">
      <w:pPr>
        <w:spacing w:after="0" w:line="259" w:lineRule="auto"/>
        <w:ind w:left="0" w:right="0" w:firstLine="0"/>
        <w:jc w:val="right"/>
      </w:pPr>
      <w:r>
        <w:rPr>
          <w:sz w:val="34"/>
        </w:rPr>
        <w:t>PRZEWODNICZĄCY</w:t>
      </w:r>
    </w:p>
    <w:p w:rsidR="00797C1E" w:rsidRDefault="00797C1E">
      <w:pPr>
        <w:spacing w:after="0" w:line="423" w:lineRule="auto"/>
        <w:ind w:left="7267" w:right="209" w:firstLine="0"/>
        <w:jc w:val="right"/>
      </w:pPr>
      <w:r>
        <w:t>Składu</w:t>
      </w:r>
      <w:r>
        <w:t xml:space="preserve"> Orzekającego</w:t>
      </w:r>
    </w:p>
    <w:p w:rsidR="000727FC" w:rsidRDefault="00797C1E" w:rsidP="00797C1E">
      <w:pPr>
        <w:spacing w:after="0" w:line="423" w:lineRule="auto"/>
        <w:ind w:left="7267" w:right="209" w:firstLine="0"/>
      </w:pPr>
      <w:r>
        <w:t>mgr Ma</w:t>
      </w:r>
      <w:r>
        <w:t>gdal</w:t>
      </w:r>
      <w:r>
        <w:t>ena Macias</w:t>
      </w:r>
    </w:p>
    <w:sectPr w:rsidR="000727FC">
      <w:pgSz w:w="11900" w:h="16820"/>
      <w:pgMar w:top="381" w:right="1058" w:bottom="1453" w:left="11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2EF3"/>
    <w:multiLevelType w:val="hybridMultilevel"/>
    <w:tmpl w:val="9DDC76C0"/>
    <w:lvl w:ilvl="0" w:tplc="345AC290">
      <w:start w:val="6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47202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A8C8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C408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43B6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4B3E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21FB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6C34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8152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040241"/>
    <w:multiLevelType w:val="hybridMultilevel"/>
    <w:tmpl w:val="4D5AE71E"/>
    <w:lvl w:ilvl="0" w:tplc="1D00CB3E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A6E78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6FD04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EC76C6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A166A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6C01A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2223BA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56DCBE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DE28B4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3A625B"/>
    <w:multiLevelType w:val="hybridMultilevel"/>
    <w:tmpl w:val="0170842C"/>
    <w:lvl w:ilvl="0" w:tplc="F29268E2">
      <w:start w:val="1"/>
      <w:numFmt w:val="bullet"/>
      <w:lvlText w:val="-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E6CDA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8CA4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D25436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CCD25C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060A0C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6AAB7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1ED872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5265E6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F96942"/>
    <w:multiLevelType w:val="hybridMultilevel"/>
    <w:tmpl w:val="92D6B1C0"/>
    <w:lvl w:ilvl="0" w:tplc="B0A8AFE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6CD7B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A2F85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7C1BD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DE04B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440C7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A406A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4951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D2D24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803998"/>
    <w:multiLevelType w:val="hybridMultilevel"/>
    <w:tmpl w:val="5222390C"/>
    <w:lvl w:ilvl="0" w:tplc="CA407934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5ED91C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069FE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668CBA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C1D40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B02C3C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C4118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6C91CA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B4EC98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FC"/>
    <w:rsid w:val="000727FC"/>
    <w:rsid w:val="00797C1E"/>
    <w:rsid w:val="00F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3AC4"/>
  <w15:docId w15:val="{2D145DA6-F06C-4ADB-8FD4-B06466D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19" w:lineRule="auto"/>
      <w:ind w:left="86" w:right="273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KM_C224e-20220413132709</dc:title>
  <dc:subject/>
  <dc:creator>ABC</dc:creator>
  <cp:keywords/>
  <cp:lastModifiedBy>ABC</cp:lastModifiedBy>
  <cp:revision>4</cp:revision>
  <dcterms:created xsi:type="dcterms:W3CDTF">2022-04-14T10:37:00Z</dcterms:created>
  <dcterms:modified xsi:type="dcterms:W3CDTF">2022-04-14T10:41:00Z</dcterms:modified>
</cp:coreProperties>
</file>