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listopada 2022 r. o godz.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440" w:bottom="1137" w:left="349" w:header="343" w:footer="70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214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1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Uprzejmie proszę o wzięcie udziału w sesji Rady Miejskiej Węglińca, która odbędzie się 30 listopada 2022 r. o godz. 9:00 w sali posiedzeń Urzędu Gminy i Miasta w Węglińcu (II piętro, pok. nr 25) 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  <w:tab w:pos="355" w:val="left"/>
          <w:tab w:pos="2803" w:val="right"/>
          <w:tab w:pos="2982" w:val="left"/>
          <w:tab w:pos="3432" w:val="center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</w:t>
        <w:tab/>
        <w:t>posiedzenia i stwierdzenie</w:t>
        <w:tab/>
        <w:t>jego</w:t>
        <w:tab/>
        <w:t>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  <w:tab w:pos="355" w:val="left"/>
          <w:tab w:pos="2170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Ustalenie</w:t>
        <w:tab/>
        <w:t>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  <w:tab w:pos="355" w:val="left"/>
          <w:tab w:pos="2803" w:val="right"/>
          <w:tab w:pos="2992" w:val="left"/>
          <w:tab w:pos="3974" w:val="center"/>
          <w:tab w:pos="5942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Przyjęcie</w:t>
        <w:tab/>
        <w:t>protokołów sesji z dnia 26</w:t>
        <w:tab/>
        <w:t>października</w:t>
        <w:tab/>
        <w:t>2022r.</w:t>
        <w:tab/>
        <w:t>oraz 14 listopada 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Sprawozdanie z prac Burmistrza za okres od 1.10.2022 do 31.10.2022.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o stanie realizacji zadań oświatowych gminy w roku szkolnym 2021/2022.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Wybór Wiceprzewodniczącego Rady.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  <w:tab w:pos="798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Wybór komisji skrutacyjnej.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  <w:tab w:pos="798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Zgłoszenie kandydatów na Wiceprzewodniczącego Rady Miejskiej Węglińca.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  <w:tab w:pos="798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Wyjaśnienie zasad głosowania.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  <w:tab w:pos="798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Przeprowadzenie głosowania.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8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743/XLIII/21 Rady Miejskiej Węglińca z dnia 30 grudnia 2021 r. w sprawie przyjęcia Wieloletniej Prognozy Finansowej.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wyboru Wiceprzewodniczącego Rady Miejskiej Węglińca.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Komisji Rewizyjnej Rady Miejskiej na rok 2023.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Rady Miejskiej na rok 2023.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ramowych planów pracy komisji stałych Rady Miejskiej na rok 2023.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opłat targowych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8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obniżenia ceny skupu żyta przyjmowanej jako podstawa obliczenia podatku rolnego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8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obniżenia kwoty stanowiącej średnią cenę sprzedaży drewna, przyjmowaną jako podstawa obliczenia podatku leśnego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8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stawek podatku od nieruchomości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8" w:val="left"/>
          <w:tab w:pos="82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stawek podatku od środków transportowych na obszarze Gminy i Miasta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8" w:val="left"/>
        </w:tabs>
        <w:bidi w:val="0"/>
        <w:spacing w:before="0" w:after="60"/>
        <w:ind w:left="8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stawki za 1 kilometr przebiegu pojazdu będącej podstawą do ustalenia zwrotu rodzicom kosztów przewozu dzieci, młodzieży i uczniów niepełnosprawnych do placówek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oświatowych o których mowa w art. 32 ust. 6 i art. 39 ust. 4 i ust. 4a ustawy z dnia 14 grudnia 2016 r. - Prawo oświatowe.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37" w:val="left"/>
        </w:tabs>
        <w:bidi w:val="0"/>
        <w:spacing w:before="0" w:after="0"/>
        <w:ind w:left="7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rocznego programu współpracy z organizacjami pozarządowymi oraz innymi podmiotami określonymi w art. 3 ust. 3 ustawy o działalności pożytku publicznego i o wolontariacie na rok 2023.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wyznaczenia obszaru zdegradowanego i obszaru rewitalizacji na terenie Gminy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1003/XLIII/18 Rady Miejskiej Węglińca z dnia 28 sierpnia 2018r.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wysokości opłat za korzystanie z wychowania przedszkolnego uczniów objętych wychowaniem przedszkolnym.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7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przyznania pierwszeństwa w nabyciu nieruchomości zabudowanej, wyrażenia zgody na sprzedaż nieruchomości zabudowanej oraz ustalenia wysokości bonifikaty.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7" w:val="left"/>
        </w:tabs>
        <w:bidi w:val="0"/>
        <w:spacing w:before="0" w:after="0"/>
        <w:ind w:left="7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w sprawie wzoru deklaracji o wysokości opłaty za gospodarowanie odpadami komunalnymi składanej przez właściciela nieruchomości.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7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714/XXXV/14 Rady Miejskiej Węglińca z dnia 28 sierpnia 2014r. w sprawie zasad wynajmowania lokali wchodzących w skład mieszkaniowego zasobu gminy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7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8/II/18 Rady Miejskiej Węglińca z dnia 30 listopada 2018r. w sprawie powołania Społecznej Komisji Mieszkaniowej Rady Miejskiej Węglińca.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dopłaty za systemu gospodarowania odpadami komunalnymi.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rozwiązania z radnym stosunku pracy.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6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dziesięć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organizacyjne.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9" w:val="left"/>
        </w:tabs>
        <w:bidi w:val="0"/>
        <w:spacing w:before="0" w:after="0" w:line="17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9" w:val="left"/>
        </w:tabs>
        <w:bidi w:val="0"/>
        <w:spacing w:before="0" w:after="0" w:line="17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righ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440" w:bottom="771" w:left="349" w:header="0" w:footer="3" w:gutter="0"/>
          <w:cols w:num="2" w:sep="1" w:space="730"/>
          <w:noEndnote/>
          <w:rtlGutter w:val="0"/>
          <w:docGrid w:linePitch="360"/>
        </w:sectPr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  <w:bookmarkEnd w:id="6"/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1" w:right="440" w:bottom="771" w:left="349" w:header="0" w:footer="3" w:gutter="0"/>
      <w:cols w:num="2" w:sep="1" w:space="73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Nagłówek #3_"/>
    <w:basedOn w:val="DefaultParagraphFont"/>
    <w:link w:val="Style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after="3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500"/>
      <w:ind w:right="78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Nagłówek #3"/>
    <w:basedOn w:val="Normal"/>
    <w:link w:val="CharStyle12"/>
    <w:pPr>
      <w:widowControl w:val="0"/>
      <w:shd w:val="clear" w:color="auto" w:fill="auto"/>
      <w:spacing w:after="260"/>
      <w:ind w:right="780"/>
      <w:jc w:val="right"/>
      <w:outlineLvl w:val="2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