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29 listopada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GOSPODARCZEJ, SPOŁECZNEJ I REWIZYJNEJ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Rady Miejskiej Węglińca, które rozpocznie się dnia </w:t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29 listopada 2022 r.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 o godz. </w:t>
      </w:r>
      <w:r>
        <w:rPr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z w:val="18"/>
          <w:szCs w:val="18"/>
          <w:u w:val="none"/>
          <w:shd w:val="clear" w:color="auto" w:fill="auto"/>
          <w:vertAlign w:val="superscript"/>
          <w:lang w:val="pl-PL" w:eastAsia="pl-PL" w:bidi="pl-PL"/>
        </w:rPr>
        <w:t>00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 w sali posiedzeń (II piętro, pok. nr 25) Urzędu Gminy i Miasta w Węglińcu przy ul. Sikorskiego 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5" w:val="left"/>
        </w:tabs>
        <w:bidi w:val="0"/>
        <w:spacing w:before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3" w:val="left"/>
        </w:tabs>
        <w:bidi w:val="0"/>
        <w:spacing w:before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o stanie realizacji zadań oświatowych gminy w roku szkolnym 2021/2022.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3" w:val="left"/>
        </w:tabs>
        <w:bidi w:val="0"/>
        <w:spacing w:before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220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33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(-)MAREK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821" w:bottom="1417" w:left="816" w:header="989" w:footer="98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u w:val="singl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260"/>
      <w:ind w:firstLine="22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