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27 lutego 2023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30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WSPÓLNE WYJAZDOWE POSIEDZENIE</w:t>
        <w:br/>
        <w:t>KOMISJI SPOŁECZNEJ I KOMISJI REWIZYJNEJ</w:t>
        <w:br/>
        <w:t>RADY MIEJSKIEJ WĘGLIŃCA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0" w:right="0" w:firstLine="380"/>
        <w:jc w:val="left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PROPONOWANY PORZĄDEK OBRAD: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after="38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860"/>
        <w:ind w:left="38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Przegląd obiektów kultury, szkół, przedszkoli, świetlic, placów zabaw i obiektów sportowych w Węglińcu, Czerwonej Wodzie, Zielonce, Starym Węglińcu, Ruszowie.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firstLine="0"/>
        <w:jc w:val="righ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848" w:right="1407" w:bottom="848" w:left="1388" w:header="420" w:footer="42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9">
    <w:name w:val="Tekst treści_"/>
    <w:basedOn w:val="DefaultParagraphFont"/>
    <w:link w:val="Style8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1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8">
    <w:name w:val="Tekst treści"/>
    <w:basedOn w:val="Normal"/>
    <w:link w:val="CharStyle9"/>
    <w:pPr>
      <w:widowControl w:val="0"/>
      <w:shd w:val="clear" w:color="auto" w:fill="auto"/>
      <w:spacing w:after="600" w:line="276" w:lineRule="auto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spacing w:after="290"/>
      <w:ind w:right="1920"/>
      <w:jc w:val="right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