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1041/LXII/23</w:t>
        <w:br/>
        <w:t>RADY MIEJSKIEJ WĘGLIŃCA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30 marca 2023 r.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art.18 ust.2 pkt 4) ustawy z dnia 8 marca 1990 r o samorządzie gminnym (t.j. Dz.U. z 2023r., poz. 40), art.211-215, art.221 ust. 1, art. 222 ustawy z dnia 27 sierpnia 2009r. o finansach publicznych (t. j. Dz. U. z 2022r. poz.1634 z późn.zm.), Rada Miejska Węglińca uchwala, co następuje: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dochodów budżetu Gminy Węgliniec na 2023rok zgodnie z załącznikiem nr 1 do niniejszej Uchwały.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wydatków budżetu Gminy Węgliniec na 2023rok zgodnie z załącznikiem nr 2 do niniejszej Uchwały.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po zmianach na 2023r. wynosi: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8" w:val="left"/>
        </w:tabs>
        <w:bidi w:val="0"/>
        <w:spacing w:before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dochodów 49.847.244,75zł, w tym: bieżące - 36.371.802,75zł, majątkowe - 13.475.442,00zł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8" w:val="left"/>
        </w:tabs>
        <w:bidi w:val="0"/>
        <w:spacing w:before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wydatków 54.364.481,56zł, w tym: bieżące - 36.905.659,56zł, majątkowe - 17.458.822,00zł.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2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Informacja nr 3 do uchwały nr 972/LVII/22 Rady Miejskiej Węglińca z dnia 29 grudnia 2022roku w sprawie budżetu gminy Węgliniec na 2023rok otrzymuje brzmienie jak załącznik nr 3 do niniejszej uchwały.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2. Załącznik nr 5 do uchwały nr 972/LVII/22 Rady Miejskiej Węglińca z dnia 29 grudnia 2022roku w sprawie budżetu gminy Węgliniec na 2023rok otrzymuje brzmienie jak załącznik nr 4 do niniejszej uchwały.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2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wchodzi w życie z dniem podjęcia.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2" w:val="left"/>
        </w:tabs>
        <w:bidi w:val="0"/>
        <w:spacing w:before="0" w:after="128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uchwały powierza się Burmistrzowi Gminy i Miasta Węgliniec.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152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780" w:line="240" w:lineRule="auto"/>
        <w:ind w:left="0" w:right="1520" w:firstLine="0"/>
        <w:jc w:val="righ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Marek Wawrzynek</w:t>
      </w:r>
      <w:bookmarkEnd w:id="4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  <w:bookmarkEnd w:id="6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1 dokonuje się zmian planu dochodów o kwotę 179.785,00zł, z tego:</w:t>
      </w:r>
    </w:p>
    <w:p>
      <w:pPr>
        <w:pStyle w:val="Style2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718" w:val="left"/>
        </w:tabs>
        <w:bidi w:val="0"/>
        <w:spacing w:before="0" w:after="8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Zwiększenia na kwotę 179.785,00zł:</w:t>
      </w:r>
    </w:p>
    <w:p>
      <w:pPr>
        <w:pStyle w:val="Style7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742" w:val="left"/>
        </w:tabs>
        <w:bidi w:val="0"/>
        <w:spacing w:before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600, rozdział 60017 o kwotę 11.010,00zł- wprowadzenie planu dochodów z tytułu zwrotu do budżetu kwoty niezrealizowanych wydatków, ustalonych jako niewygasające. Inwestycja została zakończona i rozliczona.</w:t>
      </w:r>
    </w:p>
    <w:p>
      <w:pPr>
        <w:pStyle w:val="Style7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069" w:val="left"/>
        </w:tabs>
        <w:bidi w:val="0"/>
        <w:spacing w:before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853, rozdział 85395 o kwotę 140.210,00zł, w tym: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18" w:val="left"/>
        </w:tabs>
        <w:bidi w:val="0"/>
        <w:spacing w:before="0" w:line="240" w:lineRule="auto"/>
        <w:ind w:left="26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98.430,00zł- środki z Funduszu Przeciwdziałania COVID-19 na wypłaty rekompensat służących ochronie odbiorców energii elektrycznej w 2023roku w związku z sytuacją na rynku energii elektrycznej;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18" w:val="left"/>
        </w:tabs>
        <w:bidi w:val="0"/>
        <w:spacing w:before="0" w:line="240" w:lineRule="auto"/>
        <w:ind w:left="26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41.780,00zł- ustalenie planu dochodów z tytułu wpłat osób fizycznych zweryfikowanych pozytywnie w zakresie partycypacji w kosztach pomocy w ramach Funduszu Pomocy Ukrainie.</w:t>
      </w:r>
    </w:p>
    <w:p>
      <w:pPr>
        <w:pStyle w:val="Style7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1382" w:val="left"/>
        </w:tabs>
        <w:bidi w:val="0"/>
        <w:spacing w:before="0" w:line="240" w:lineRule="auto"/>
        <w:ind w:left="6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900, rozdział 90017 o kwotę 28.565,00zł- wprowadzenie planu dochodów z tytułu rozliczenia przez ZUK w Węglińcu dotacji inwestycyjnej za 2022r.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2 dokonuje się zmian planu wydatków o kwotę 179.785,00zł, z tego: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00" w:val="left"/>
        </w:tabs>
        <w:bidi w:val="0"/>
        <w:spacing w:before="0" w:line="240" w:lineRule="auto"/>
        <w:ind w:left="0" w:right="0" w:firstLine="9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Zwiększenia na kwotę 199.785,00zł, z tego:</w:t>
      </w:r>
    </w:p>
    <w:p>
      <w:pPr>
        <w:pStyle w:val="Style7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373" w:val="left"/>
        </w:tabs>
        <w:bidi w:val="0"/>
        <w:spacing w:before="0" w:line="240" w:lineRule="auto"/>
        <w:ind w:left="6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600, rozdział 60016 o kwotę 16.000,00zł- zwiększenie planu wydatków inwestycyjnych zadania „Wykonanie odwodnienia ulicy 5go Grudnia w Czerwonej Wodzie dz. nr 2470”</w:t>
      </w:r>
    </w:p>
    <w:p>
      <w:pPr>
        <w:pStyle w:val="Style7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373" w:val="left"/>
        </w:tabs>
        <w:bidi w:val="0"/>
        <w:spacing w:before="0" w:line="240" w:lineRule="auto"/>
        <w:ind w:left="6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801 rozdział 80195 o kwotę 1.000,00zł- środki na pokrycie wkładu własnego Gminy w projekcie „Płynę dalej” dla uczniów SP Ruszów na podstawie porozumienia z Dolnośląską Federacją Sportu.</w:t>
      </w:r>
    </w:p>
    <w:p>
      <w:pPr>
        <w:pStyle w:val="Style7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368" w:val="left"/>
        </w:tabs>
        <w:bidi w:val="0"/>
        <w:spacing w:before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853, rozdział 85395 o kwotę 140.210,00zł, w tym: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8" w:val="left"/>
        </w:tabs>
        <w:bidi w:val="0"/>
        <w:spacing w:before="0" w:line="240" w:lineRule="auto"/>
        <w:ind w:left="8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98.430,00zł- środki z Funduszu Przeciwdziałania COVID-19 na wypłaty rekompensat służących ochronie odbiorców energii elektrycznej w 2023roku w związku z sytuacją na rynku energii elektrycznej oraz obsługę zadania;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8" w:val="left"/>
        </w:tabs>
        <w:bidi w:val="0"/>
        <w:spacing w:before="0" w:line="240" w:lineRule="auto"/>
        <w:ind w:left="8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41.780,00zł- ustalenie planu wydatków pokrywanych z dochodów z wpłat osób fizycznych zweryfikowanych pozytywnie w zakresie partycypacji w kosztach pomocy w ramach Funduszu Pomocy Ukrainie (§ 4350-30.000,00zł, § 4860- 11.780,00zł)</w:t>
      </w:r>
    </w:p>
    <w:p>
      <w:pPr>
        <w:pStyle w:val="Style7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373" w:val="left"/>
        </w:tabs>
        <w:bidi w:val="0"/>
        <w:spacing w:before="0" w:line="240" w:lineRule="auto"/>
        <w:ind w:left="6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900, rozdział 90015 o kwotę 15.000,00zł - zwiększenie planu wydatków na dzierżawę i najem słupów oświetlenia drogowego.</w:t>
      </w:r>
    </w:p>
    <w:p>
      <w:pPr>
        <w:pStyle w:val="Style7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363" w:val="left"/>
        </w:tabs>
        <w:bidi w:val="0"/>
        <w:spacing w:before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921 rozdział 92105 o kwotę 27.575,00zł, z tego: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- 7.575,00zł- środki na zapłatę przez Gminę kosztów użytkowania pomieszczeń na dworcu PKP w Węglińcu;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-20.000,00zł- zwiększenie planu wydatków inwestycyjnych zadania „Zakup i montaż systemów audiowizualnych i konferencyjnych Sali kinowej dworca PKP w Węglińcu”.</w:t>
      </w:r>
    </w:p>
    <w:p>
      <w:pPr>
        <w:pStyle w:val="Style2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1324" w:val="left"/>
        </w:tabs>
        <w:bidi w:val="0"/>
        <w:spacing w:before="0" w:after="80" w:line="240" w:lineRule="auto"/>
        <w:ind w:left="0" w:right="0" w:firstLine="98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Zmniejszenia na kwotę 20.000,00zł, z tego:</w:t>
      </w:r>
      <w:bookmarkEnd w:id="10"/>
    </w:p>
    <w:p>
      <w:pPr>
        <w:pStyle w:val="Style7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373" w:val="left"/>
        </w:tabs>
        <w:bidi w:val="0"/>
        <w:spacing w:before="0" w:line="240" w:lineRule="auto"/>
        <w:ind w:left="640" w:right="0"/>
        <w:jc w:val="both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393" w:right="777" w:bottom="1371" w:left="495" w:header="965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600, rozdział 60017 o kwotę 20.000,00zł- zmniejszenie planu wydatków inwestycyjnych zadania „Przebudowa ulicy Mickiewicza w Węglińcu dz. nr 237/8”.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Zmiana planu dochodów budżetu Gminy Węgliniec na 2023 rok</w:t>
      </w:r>
      <w:bookmarkEnd w:id="1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1 do uchwały nr 1041/LXII/23</w:t>
        <w:br/>
        <w:t>Rady Miejskiej Węglińca z dnia</w:t>
        <w:br/>
        <w:t>30.03.2023r.</w:t>
      </w:r>
    </w:p>
    <w:tbl>
      <w:tblPr>
        <w:tblOverlap w:val="never"/>
        <w:jc w:val="center"/>
        <w:tblLayout w:type="fixed"/>
      </w:tblPr>
      <w:tblGrid>
        <w:gridCol w:w="686"/>
        <w:gridCol w:w="926"/>
        <w:gridCol w:w="936"/>
        <w:gridCol w:w="3365"/>
        <w:gridCol w:w="1570"/>
        <w:gridCol w:w="1565"/>
        <w:gridCol w:w="1579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Transport i łączność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2 170 893,00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2 181 903,00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Drogi wewnetrzne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11 010,00</w:t>
            </w:r>
          </w:p>
        </w:tc>
      </w:tr>
      <w:tr>
        <w:trPr>
          <w:trHeight w:val="6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6680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Wpłata środków finansowych z niewykorzystanych w terminie wydatków, które nie wygasają z upływem roku budżetowego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11 010,00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Pozostałe zadania w zakresie polityki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153 660,00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140 210,00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293 870,00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85395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153 660,00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140 210,00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293 870,00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0970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Wpływy z różnych dochodów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41 780,00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41 780,00</w:t>
            </w:r>
          </w:p>
        </w:tc>
      </w:tr>
      <w:tr>
        <w:trPr>
          <w:trHeight w:val="64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33 660,00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98 430,00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132 090,00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Gospodarka komunalna i ochrona środowiska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5 909 351,00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28 565,00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5 937 916,00</w:t>
            </w: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Zakłady gospodarki komunalnej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28 565,00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28 565,00</w:t>
            </w:r>
          </w:p>
        </w:tc>
      </w:tr>
      <w:tr>
        <w:trPr>
          <w:trHeight w:val="34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6690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Wpływy ze zwrotów niewykorzystanych dotacji oraz płatności, dotyczące dochodów majątkowych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28 565,00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28 565,00</w:t>
            </w:r>
          </w:p>
        </w:tc>
      </w:tr>
      <w:tr>
        <w:trPr>
          <w:trHeight w:val="230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49 667 459,75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179 785,00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49 847 244,75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378" w:right="409" w:bottom="1378" w:left="361" w:header="95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/>
        <w:keepLines/>
        <w:widowControl w:val="0"/>
        <w:shd w:val="clear" w:color="auto" w:fill="auto"/>
        <w:bidi w:val="0"/>
        <w:spacing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Zmiana planu wydatków na 2023rok</w:t>
      </w:r>
      <w:bookmarkEnd w:id="1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2 do Uchwały nr 1041/LXII/23</w:t>
        <w:br/>
        <w:t>Rady Miejskiej Węglińca z dnia</w:t>
        <w:br/>
        <w:t>30.03.2023r.</w:t>
      </w:r>
    </w:p>
    <w:tbl>
      <w:tblPr>
        <w:tblOverlap w:val="never"/>
        <w:jc w:val="center"/>
        <w:tblLayout w:type="fixed"/>
      </w:tblPr>
      <w:tblGrid>
        <w:gridCol w:w="946"/>
        <w:gridCol w:w="946"/>
        <w:gridCol w:w="960"/>
        <w:gridCol w:w="3451"/>
        <w:gridCol w:w="1608"/>
        <w:gridCol w:w="1603"/>
        <w:gridCol w:w="1618"/>
      </w:tblGrid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Transport i łączność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4 447 995,00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-4 000,00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4 443 995,00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Drogi publiczne gminne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3 128 995,00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3 144 995,00</w:t>
            </w:r>
          </w:p>
        </w:tc>
      </w:tr>
      <w:tr>
        <w:trPr>
          <w:trHeight w:val="20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1 991 114,00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2 007 114,00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Drogi wewnetrzne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529 800,00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509 800,00</w:t>
            </w:r>
          </w:p>
        </w:tc>
      </w:tr>
      <w:tr>
        <w:trPr>
          <w:trHeight w:val="20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529 800,00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509 800,00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13 855 031,27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13 856 031,27</w:t>
            </w: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80195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300 597,14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301 597,14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5 800,00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6 800,00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Pozostałe zadania w zakresie polityki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529 329,00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140 210,00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669 539,00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85395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529 329,00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140 210,00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669 539,00</w:t>
            </w:r>
          </w:p>
        </w:tc>
      </w:tr>
      <w:tr>
        <w:trPr>
          <w:trHeight w:val="20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Świadczenia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97 000,00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403 000,00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1 794,85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2 394,85</w:t>
            </w:r>
          </w:p>
        </w:tc>
      </w:tr>
      <w:tr>
        <w:trPr>
          <w:trHeight w:val="20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309,08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413,08</w:t>
            </w:r>
          </w:p>
        </w:tc>
      </w:tr>
      <w:tr>
        <w:trPr>
          <w:trHeight w:val="38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15,00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211,00</w:t>
            </w:r>
          </w:p>
        </w:tc>
      </w:tr>
      <w:tr>
        <w:trPr>
          <w:trHeight w:val="20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4 016,07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4 516,07</w:t>
            </w:r>
          </w:p>
        </w:tc>
      </w:tr>
      <w:tr>
        <w:trPr>
          <w:trHeight w:val="3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towarów (w szczególności materiałów, leków, żywności) w związku z pomocą obywatelom Ukrainy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30 000,00</w:t>
            </w:r>
          </w:p>
        </w:tc>
      </w:tr>
      <w:tr>
        <w:trPr>
          <w:trHeight w:val="35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Pozostałe wydatki bieżące na zadania związane z pomocą obywatelom Ukrainy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11 780,00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11 780,00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Gospodarka komunalna i ochrona środowiska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7 964 587,20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7 979 587,20</w:t>
            </w: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Oświetlenie ulic, placów i dróg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876 606,00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891 606,00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201 500,00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216 500,00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Kultura i ochrona dziedzictwa narodowego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1 842 609,32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27 575,00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1 870 184,32</w:t>
            </w:r>
          </w:p>
        </w:tc>
      </w:tr>
      <w:tr>
        <w:trPr>
          <w:trHeight w:val="1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Pozostałe zadania w zakresie kultury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337 384,32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27 575,00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364 959,32</w:t>
            </w:r>
          </w:p>
        </w:tc>
      </w:tr>
      <w:tr>
        <w:trPr>
          <w:trHeight w:val="20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energii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7 506,00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7 506,00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35 934,00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36 003,00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200 000,00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220 000,00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tabs>
          <w:tab w:pos="1214" w:val="left"/>
          <w:tab w:pos="3010" w:val="left"/>
          <w:tab w:pos="4426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Razem: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54 184 696,56</w:t>
        <w:tab/>
        <w:t>179 785,00</w:t>
        <w:tab/>
        <w:t>54 364 481,56</w:t>
      </w:r>
      <w:r>
        <w:br w:type="page"/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3 do uchwały nr 1041/LXII/23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 z dnia 30.03.2023r.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Zadania inwestycyjne w 2023r.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634" w:right="0" w:firstLine="0"/>
        <w:jc w:val="left"/>
        <w:rPr>
          <w:sz w:val="9"/>
          <w:szCs w:val="9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l-PL" w:eastAsia="pl-PL" w:bidi="pl-PL"/>
        </w:rPr>
        <w:t>w zł</w:t>
      </w:r>
    </w:p>
    <w:tbl>
      <w:tblPr>
        <w:tblOverlap w:val="never"/>
        <w:jc w:val="center"/>
        <w:tblLayout w:type="fixed"/>
      </w:tblPr>
      <w:tblGrid>
        <w:gridCol w:w="283"/>
        <w:gridCol w:w="461"/>
        <w:gridCol w:w="451"/>
        <w:gridCol w:w="2544"/>
        <w:gridCol w:w="912"/>
        <w:gridCol w:w="984"/>
        <w:gridCol w:w="984"/>
        <w:gridCol w:w="902"/>
        <w:gridCol w:w="1022"/>
        <w:gridCol w:w="850"/>
        <w:gridCol w:w="802"/>
      </w:tblGrid>
      <w:tr>
        <w:trPr>
          <w:trHeight w:val="26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Rozdz.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Nazwa zadania inwestycyjnego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Łączne nakłady finansowe szacunkowe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od początku realizacji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Planowane wydatki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Jednostka organizacyjn a realizująca program lub koordynując a wykonanie programu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rok budżetowy (8+9+10)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 tego źródła finansowania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869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budżet gminy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pochodzące z innych źródeł*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środki wymienione w art.5 ust.1 pkt 2 i 3 u.f.p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1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11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O1044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kanalizacji w miejscowości Czerwona Woda wraz z przyłączeniem do kanalizacji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10 451 191,60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88 307,60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2 590 721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129 537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A: 2 461 184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O1044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2 933 369,50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89 236,50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1 017 398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300 838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716 560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180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chodnika w miejscowości</w:t>
              <w:tab/>
              <w:t>Jagodzin przy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drodze wojewódzkiej 296 -dokumentacja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B: 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470" w:val="left"/>
                <w:tab w:pos="998" w:val="left"/>
                <w:tab w:pos="191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</w:t>
              <w:tab/>
              <w:t>chodnika</w:t>
              <w:tab/>
              <w:t>w miejscowości</w:t>
              <w:tab/>
              <w:t>Ruszów ul.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821" w:val="left"/>
                <w:tab w:pos="1013" w:val="left"/>
                <w:tab w:pos="1752" w:val="left"/>
                <w:tab w:pos="211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Bolesławiecka</w:t>
              <w:tab/>
              <w:t>i</w:t>
              <w:tab/>
              <w:t>Zgorzelecka</w:t>
              <w:tab/>
              <w:t>przy</w:t>
              <w:tab/>
              <w:t>drogach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wojewódzkich 350 i 296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736 900,00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736 900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456 900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B: 280 000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ul.Sikorskiego w Węglińcu etap II wraz z infrastrukturą kanalizacyjną i elektryczną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4 096 821,45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2 978 805,45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1 118 016,00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369 346,00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C: 748 670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nawierzchni drogi w Czerwonej Wodzie, ul.Kościuszki 14 - 220mb-dz.2439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100 634,00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7 134,00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93 500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42 900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B: 50 600,00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nawierzchni drogi w Węglińcu, ul. Parkowadz.nr 84 - 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ul. Kolejowej w Węglińcu dz.30, 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1 543 691,00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19 800,00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807 331,00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108 749,00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698 582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chodnika ul. Kościuszki dz.nr 163 i 213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634" w:val="left"/>
                <w:tab w:pos="1330" w:val="left"/>
                <w:tab w:pos="1656" w:val="left"/>
                <w:tab w:pos="1944" w:val="left"/>
                <w:tab w:pos="242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Wykonanie</w:t>
              <w:tab/>
              <w:t>odwodnienia</w:t>
              <w:tab/>
              <w:t>ulicy</w:t>
              <w:tab/>
              <w:t>5go</w:t>
              <w:tab/>
              <w:t>Grudnia</w:t>
              <w:tab/>
              <w:t>w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Czerwonej Wodzie dz.nr 2470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66 000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66 000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ulicy Gajowej w Starym Węglińcu dz. Nr 904/1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ulicy Pożarnej i Mickiewicza w Ruszowie - dz. nr 875,878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293 498,00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293 498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150 249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A: 143 249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nawierzchni drogi w Ruszowie ul. Harcerska - dz. nr 231/2102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nawierzchni drogi w Ruszowie ul. Poprzeczna- dokumentacja projektowa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drogi w Jagodzinie -dz.nr 436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ul. Mickiewicza w Węglińcu- dz. nr 237/8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448 000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448 000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ul.Kościuszki w Węglińcu -dz. nr 91/2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drogi ul.Kochanowskiego 13a w Węglińcu - dz. nr 168/15-dokumentacja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ul.K.Wojtyły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140 790,00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138 990,00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63003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infrastruktury turystyczno-rekreacyjnej przy stawie w Czerwonej Wodzie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1 427 970,00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Termomodernizacja budynku użyteczności publicznej przy ul. Sikorskiego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1 849 000,00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949 500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139 950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A: 809 550,00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Momodernizacja systemu ogrzewania w budynku użyteczności publicznej przy ul. Sikorskiego 40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254 598,00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200 498,00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54 100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54 100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Utwardzenie placu przy OSP Ruszów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75495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Zakup i montaż 2 urządzeń wskazujących prędkość przy drodze 296 w Starym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85219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Zakup i montaż pieca centralnego ogrzewania w budynku MGOPS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85395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Zakup samochodu 9-miejscowego przystosowanego do przewozu osób na wózkach inwalidzkich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217 209,00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217 209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97 209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C:120 000,00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672" w:val="left"/>
                <w:tab w:pos="1027" w:val="left"/>
                <w:tab w:pos="1814" w:val="left"/>
                <w:tab w:pos="203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Rozbudowa</w:t>
              <w:tab/>
              <w:t>sieci</w:t>
              <w:tab/>
              <w:t>kanalizacyjnej</w:t>
              <w:tab/>
              <w:t>w</w:t>
              <w:tab/>
              <w:t>ul.Wojska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Polskiego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819 926,00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819 926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243 756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576 170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Rozbudowa sieci wodociągowej ul. Daszyńskiego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647 815,00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647 815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199 767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448 048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Dotacje dla osób fizycznych i innych podmiotów w ramach Programu Ciepłe Mieszkanie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1 900 000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B: 1 900 000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oświetlenia drogowego -ul.Lubańska w Czerwonej Wodzie- 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oświetlenia drogowego -ul. Drzymały w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Starym Węglińcu dz. Nr 790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28 181,00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3 075,00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25 106,00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25 106,00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oświetlenia drogowego -ul.Batorego w Ruszowie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648" w:val="left"/>
                <w:tab w:pos="1142" w:val="left"/>
                <w:tab w:pos="1963" w:val="left"/>
                <w:tab w:pos="243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</w:t>
              <w:tab/>
              <w:t>wiaty</w:t>
              <w:tab/>
              <w:t>rekreacyjnej</w:t>
              <w:tab/>
              <w:t>wraz</w:t>
              <w:tab/>
              <w:t>z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zagospodarowaniem terenu w Kościelnej Wsi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84 000,00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84 000,00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84 000,00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408" w:val="left"/>
                <w:tab w:pos="557" w:val="left"/>
                <w:tab w:pos="1018" w:val="left"/>
                <w:tab w:pos="1598" w:val="left"/>
                <w:tab w:pos="247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Zakup</w:t>
              <w:tab/>
              <w:t>i</w:t>
              <w:tab/>
              <w:t>montaż</w:t>
              <w:tab/>
              <w:t>systemów</w:t>
              <w:tab/>
              <w:t>audiowizualnych</w:t>
              <w:tab/>
              <w:t>i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konferencyjnych Sali kinowej dworca PKP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207 380,00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7 380,00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Dotacja celowa inwestycyjna dla GCKSiR w Węglińcu na modernizację systemu ogrzewania w Domu Kultury w Starym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92109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Dotacja celowa inwestycyjna dla GCKSiR w Węglińcu na modernizację systemu ogrzewania w Węglinieckim Centrum Kultury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Dotacja celowa inwestycyjna dla GCKSiR w Węglińcu na "Budowęa studni wierconej na boisku sportowym w Czerwonej Wodzie"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53 000,00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2 475,74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48 000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48 000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boiska do siatkówki na placu zabaw w Piasecznej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13 880,00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13 880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13 880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Sali sportowej w Czerwonej Wodzie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8 884 044,00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4 442 022,00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444 203,00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A: 3 997 819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75818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Rezerwa na inwestycje i zakupy inwestycyjne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3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38 377 898,55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3 538 082,29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17 458 822,00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4 488 390,00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10 531 072,00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2 439 360,00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Oznaczenie źródła finansowania: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A. Dotacje i środki z budżetu państwa (np. od wojewody, MEN, UKFiS, ...)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B. Środki i dotacje otrzymane od innych jst oraz innych jednostek zaliczanych do sektora finansów publicznych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582" w:right="409" w:bottom="704" w:left="361" w:header="154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C. Inne źródła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0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4 do Uchwały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0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nr 1041/LXII/23 Rady Miejskiej Węglińca z dnia 30.03.2023r.</w:t>
      </w:r>
    </w:p>
    <w:p>
      <w:pPr>
        <w:pStyle w:val="Style3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przychodów i wydatków zakładów budżetowych</w:t>
      </w:r>
      <w:bookmarkEnd w:id="16"/>
    </w:p>
    <w:p>
      <w:pPr>
        <w:pStyle w:val="Style37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oraz dochodów i wydatków rachunków dochodów oświatowych jednostek budżetowych na 2023r.</w:t>
      </w:r>
    </w:p>
    <w:tbl>
      <w:tblPr>
        <w:tblOverlap w:val="never"/>
        <w:jc w:val="center"/>
        <w:tblLayout w:type="fixed"/>
      </w:tblPr>
      <w:tblGrid>
        <w:gridCol w:w="451"/>
        <w:gridCol w:w="3394"/>
        <w:gridCol w:w="1128"/>
        <w:gridCol w:w="1085"/>
        <w:gridCol w:w="1056"/>
        <w:gridCol w:w="888"/>
        <w:gridCol w:w="912"/>
        <w:gridCol w:w="1099"/>
        <w:gridCol w:w="778"/>
        <w:gridCol w:w="1152"/>
        <w:gridCol w:w="922"/>
        <w:gridCol w:w="941"/>
        <w:gridCol w:w="1070"/>
      </w:tblGrid>
      <w:tr>
        <w:trPr>
          <w:trHeight w:val="25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Stan środków obrotowych* * na początek roku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Przychody*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Koszty**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Stan środków obrotowych *** na koniec roku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C0C0C0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298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dotacje z budżetu****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wpłata do budżetu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wynagrodzen ia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pochodne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wydatki inwestycyj ne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691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§ 265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§ 251</w:t>
            </w:r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1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0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13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I.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Zakłady budżetowe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-25 770,00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2 573 064,00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79 182,00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79 182,00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2 945 697,00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1 104 607,00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222 110,00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-398 403,00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z tego: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3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 .Zakład Usług Komunalnych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-25 770,00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2 573 064,00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79 182,00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79 182,00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2 945 697,00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1 104 607,00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222 110,00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-398 403,00</w:t>
            </w: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II.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Dochody własne jednostek budżetowych****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1 703,45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294 325,81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296 029,26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z tego: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1.Przedszkole Miejskie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1 046,94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284 375,00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285 421,94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2.Szkoła Podstawowa w Ruszowie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656,16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9 950,81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10 606,97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3.Szkoła Podstawowa w Czerwonej Wodzie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-24 066,55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2 867 389,81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79 182,00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79 182,00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3 241 726,26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1 104 607,00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222 110,00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-398 403,00</w:t>
            </w:r>
          </w:p>
        </w:tc>
      </w:tr>
    </w:tbl>
    <w:p>
      <w:pPr>
        <w:widowControl w:val="0"/>
        <w:spacing w:after="5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W odniesieniu do dochodów własnych jednostek budżetowych: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53" w:val="left"/>
        </w:tabs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dochody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53" w:val="left"/>
        </w:tabs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* wydatki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53" w:val="left"/>
        </w:tabs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** stan środków pieniężnych</w:t>
      </w:r>
    </w:p>
    <w:p>
      <w:pPr>
        <w:pStyle w:val="Style1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53" w:val="left"/>
        </w:tabs>
        <w:bidi w:val="0"/>
        <w:spacing w:before="0" w:after="2860" w:line="240" w:lineRule="auto"/>
        <w:ind w:left="0" w:right="0" w:firstLine="0"/>
        <w:jc w:val="left"/>
        <w:rPr>
          <w:sz w:val="17"/>
          <w:szCs w:val="17"/>
        </w:rPr>
      </w:pP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*** źródła dochodów wskazanych przez Radę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9662795</wp:posOffset>
                </wp:positionH>
                <wp:positionV relativeFrom="paragraph">
                  <wp:posOffset>12700</wp:posOffset>
                </wp:positionV>
                <wp:extent cx="408305" cy="164465"/>
                <wp:wrapSquare wrapText="bothSides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830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Strona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760.85000000000002pt;margin-top:1.pt;width:32.149999999999999pt;height:12.9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Strona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Id: AB6F1D96-1249-44CE-8986-A8B56CFC6AB8. Podpisany</w:t>
      </w:r>
    </w:p>
    <w:sectPr>
      <w:footerReference w:type="default" r:id="rId6"/>
      <w:footnotePr>
        <w:pos w:val="pageBottom"/>
        <w:numFmt w:val="decimal"/>
        <w:numRestart w:val="continuous"/>
      </w:footnotePr>
      <w:pgSz w:w="16840" w:h="11900" w:orient="landscape"/>
      <w:pgMar w:top="1302" w:right="989" w:bottom="30" w:left="970" w:header="874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549275</wp:posOffset>
              </wp:positionH>
              <wp:positionV relativeFrom="page">
                <wp:posOffset>10418445</wp:posOffset>
              </wp:positionV>
              <wp:extent cx="627570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57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Id: AB6F1D96-1249-44CE-8986-A8B56CFC6AB8. Podpisany</w:t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3.25pt;margin-top:820.35000000000002pt;width:494.15000000000003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Id: AB6F1D96-1249-44CE-8986-A8B56CFC6AB8. Podpisany</w:t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549275</wp:posOffset>
              </wp:positionH>
              <wp:positionV relativeFrom="page">
                <wp:posOffset>10372725</wp:posOffset>
              </wp:positionV>
              <wp:extent cx="6290945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909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3.25pt;margin-top:816.75pt;width:495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5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decimal"/>
      <w:lvlText w:val="%1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4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Nagłówek lub stopka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Nagłówek #2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Tekst treści (2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Inne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1">
    <w:name w:val="Nagłówek #1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Podpis tabeli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6">
    <w:name w:val="Tekst treści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8">
    <w:name w:val="Tekst treści (5)_"/>
    <w:basedOn w:val="DefaultParagraphFont"/>
    <w:link w:val="Style27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36">
    <w:name w:val="Tekst treści (4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38">
    <w:name w:val="Nagłówek #3_"/>
    <w:basedOn w:val="DefaultParagraphFont"/>
    <w:link w:val="Style37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Nagłówek #4"/>
    <w:basedOn w:val="Normal"/>
    <w:link w:val="CharStyle3"/>
    <w:pPr>
      <w:widowControl w:val="0"/>
      <w:shd w:val="clear" w:color="auto" w:fill="auto"/>
      <w:spacing w:after="160"/>
      <w:jc w:val="center"/>
      <w:outlineLvl w:val="3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Nagłówek lub stopka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80"/>
      <w:ind w:firstLine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Nagłówek #2"/>
    <w:basedOn w:val="Normal"/>
    <w:link w:val="CharStyle13"/>
    <w:pPr>
      <w:widowControl w:val="0"/>
      <w:shd w:val="clear" w:color="auto" w:fill="auto"/>
      <w:spacing w:after="420"/>
      <w:ind w:left="168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4">
    <w:name w:val="Tekst treści (2)"/>
    <w:basedOn w:val="Normal"/>
    <w:link w:val="CharStyle15"/>
    <w:pPr>
      <w:widowControl w:val="0"/>
      <w:shd w:val="clear" w:color="auto" w:fill="auto"/>
      <w:spacing w:after="20" w:line="25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6">
    <w:name w:val="Inne"/>
    <w:basedOn w:val="Normal"/>
    <w:link w:val="CharStyle1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0">
    <w:name w:val="Nagłówek #1"/>
    <w:basedOn w:val="Normal"/>
    <w:link w:val="CharStyle21"/>
    <w:pPr>
      <w:widowControl w:val="0"/>
      <w:shd w:val="clear" w:color="auto" w:fill="auto"/>
      <w:spacing w:before="540" w:after="10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Podpis tabeli"/>
    <w:basedOn w:val="Normal"/>
    <w:link w:val="CharStyle2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5">
    <w:name w:val="Tekst treści (3)"/>
    <w:basedOn w:val="Normal"/>
    <w:link w:val="CharStyle26"/>
    <w:pPr>
      <w:widowControl w:val="0"/>
      <w:shd w:val="clear" w:color="auto" w:fill="auto"/>
      <w:ind w:left="71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7">
    <w:name w:val="Tekst treści (5)"/>
    <w:basedOn w:val="Normal"/>
    <w:link w:val="CharStyle28"/>
    <w:pPr>
      <w:widowControl w:val="0"/>
      <w:shd w:val="clear" w:color="auto" w:fill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35">
    <w:name w:val="Tekst treści (4)"/>
    <w:basedOn w:val="Normal"/>
    <w:link w:val="CharStyle3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37">
    <w:name w:val="Nagłówek #3"/>
    <w:basedOn w:val="Normal"/>
    <w:link w:val="CharStyle38"/>
    <w:pPr>
      <w:widowControl w:val="0"/>
      <w:shd w:val="clear" w:color="auto" w:fill="auto"/>
      <w:spacing w:after="150"/>
      <w:jc w:val="center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Uchwala 1041/LXII/23</dc:title>
  <dc:subject>Uchwała Nr 1041/LXII/23 z dnia 30 marca 2023 r. Rady Miejskiej Węglińca w sprawie zmian w budzecie</dc:subject>
  <dc:creator>Rada Miejska Weglinca</dc:creator>
  <cp:keywords/>
</cp:coreProperties>
</file>