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28 kwietnia 2023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1" w:right="694" w:bottom="1161" w:left="694" w:header="343" w:footer="73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  <w:br/>
        <w:t>(II piętro, sala nr 25) przy ul. Sikorskiego 3 odbędzie się sesja Rady Miejskiej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76" w:lineRule="auto"/>
        <w:ind w:left="0" w:right="0" w:firstLine="58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28 kwietnia 2023 r. o godz. 11:00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18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6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protokołów sesji z dnia 16.03.2023 r. oraz 30.03.2023.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pracy Burmistrza za okres od 1.03.2023r. do 31.03.2023r.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cena wykonania „Akcji Zima”.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działalności ZUK.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naliza sposobu finansowania i wykonania budżetu OSP za 2022r.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1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realizacji zadań z zakresu wspierania rodziny i systemu pieczy zastępczej za rok 2022 w Gminie Węgliniec.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92" w:val="left"/>
        </w:tabs>
        <w:bidi w:val="0"/>
        <w:spacing w:before="0" w:after="0" w:line="240" w:lineRule="auto"/>
        <w:ind w:left="5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realizacji programu działalności GCKSiR w Węglińcu na lata 2022-2027 za okres 01.09.2022-31.12.2022r.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87" w:val="left"/>
        </w:tabs>
        <w:bidi w:val="0"/>
        <w:spacing w:before="0" w:after="0" w:line="240" w:lineRule="auto"/>
        <w:ind w:left="0" w:right="0" w:firstLine="1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8" w:val="left"/>
        </w:tabs>
        <w:bidi w:val="0"/>
        <w:spacing w:before="0" w:after="0" w:line="240" w:lineRule="auto"/>
        <w:ind w:left="11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załączników nr 1 i 2 do Uchwały Nr 971/LVII/22 Rady Miejskiej Węglińca z dnia 29 grudnia 2022r.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3" w:val="left"/>
        </w:tabs>
        <w:bidi w:val="0"/>
        <w:spacing w:before="0" w:after="0" w:line="240" w:lineRule="auto"/>
        <w:ind w:left="11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uchwalenia programu osłonowego "Korpus Wsparcia Seniorów" na rok 2023.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62" w:val="left"/>
        </w:tabs>
        <w:bidi w:val="0"/>
        <w:spacing w:before="0" w:after="60" w:line="240" w:lineRule="auto"/>
        <w:ind w:left="1140" w:right="0" w:hanging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zatwierdzenia wniosku o wsparcie ze środków Rządowego Funduszu Rozwoju Mieszkalnictwa na sfinansowanie objęcia udziałów w tworzonej Społecznej Inicjatywy Mieszkaniowej.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94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utworzenie Społecznej Inicjatywy Mieszkaniowej "KZN Łużyce" w Węglińcu sp. z o.o.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94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zaliczenia do kategorii dróg gminnych oraz zmiany przebiegu istniejącej drogi gminnej - ulicy Rzecznej w Starym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94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zaliczenia do kategorii dróg gminnych oraz zmiany przebiegu istniejącej drogi gminnej - ulicy Stawowej w Starym Węglińcu.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94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obowiązku trybu przetargowego i zawarcie umowy dzierżawy gruntu na cele związane z działalnością rolniczą.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wydzierżawienia nieruchomości.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8" w:val="left"/>
          <w:tab w:pos="3085" w:val="left"/>
        </w:tabs>
        <w:bidi w:val="0"/>
        <w:spacing w:before="0" w:after="0" w:line="240" w:lineRule="auto"/>
        <w:ind w:left="94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dziewięć uchwał w sprawie wyrażenia zgody na odstąpienie od obowiązku trybu</w:t>
        <w:tab/>
        <w:t>przetargowego i zawarcie umowy najmu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07" w:val="left"/>
        </w:tabs>
        <w:bidi w:val="0"/>
        <w:spacing w:before="0" w:after="0" w:line="187" w:lineRule="auto"/>
        <w:ind w:left="130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07" w:val="left"/>
        </w:tabs>
        <w:bidi w:val="0"/>
        <w:spacing w:before="0" w:after="0" w:line="187" w:lineRule="auto"/>
        <w:ind w:left="1300" w:right="0" w:hanging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3" w:val="left"/>
        </w:tabs>
        <w:bidi w:val="0"/>
        <w:spacing w:before="0" w:after="4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4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1" w:right="694" w:bottom="771" w:left="694" w:header="0" w:footer="3" w:gutter="0"/>
          <w:cols w:num="2" w:sep="1" w:space="807"/>
          <w:noEndnote/>
          <w:rtlGutter w:val="0"/>
          <w:docGrid w:linePitch="360"/>
        </w:sectPr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1" w:right="694" w:bottom="771" w:left="694" w:header="0" w:footer="3" w:gutter="0"/>
      <w:cols w:num="2" w:sep="1" w:space="807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