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27 kwietnia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GOSPODARCZEJ, SPOŁECZNEJ I REWIZYJNEJ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Rady Miejskiej Węglińca, które rozpocznie się dnia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28 kwietnia 2023 r.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 godz.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vertAlign w:val="superscript"/>
          <w:lang w:val="pl-PL" w:eastAsia="pl-PL" w:bidi="pl-PL"/>
        </w:rPr>
        <w:t>00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sali posiedzeń (II piętro, pok. nr 25) Urzędu Gminy i Miasta w Węglińcu przy ul. Sikorskiego 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Ocena wykonania „Akcji Zima”.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działalności ZUK.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sposobu finansowania i wykonania budżetu OSP za 2022r.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Sprawozdanie z realizacji zadań z zakresu wspierania rodziny i systemu pieczy zastępczej za rok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2022 w Gminie Węgliniec.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Sprawozdanie z realizacji programu działalności GCKSiR w Węglińcu na lata 2022-2027 za okres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01.09.2022-31.12.2022r.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206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821" w:bottom="1417" w:left="816" w:header="989" w:footer="98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