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1638935</wp:posOffset>
            </wp:positionH>
            <wp:positionV relativeFrom="paragraph">
              <wp:posOffset>12700</wp:posOffset>
            </wp:positionV>
            <wp:extent cx="499745" cy="560705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99745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  <w:rPr>
          <w:sz w:val="22"/>
          <w:szCs w:val="22"/>
        </w:rPr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4784725</wp:posOffset>
                </wp:positionH>
                <wp:positionV relativeFrom="paragraph">
                  <wp:posOffset>12700</wp:posOffset>
                </wp:positionV>
                <wp:extent cx="1913890" cy="19494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389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l-PL" w:eastAsia="pl-PL" w:bidi="pl-PL"/>
                              </w:rPr>
                              <w:t>Wrocław, dnia 31 lipca 2023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76.75pt;margin-top:1.pt;width:150.70000000000002pt;height:15.3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Wrocław, dnia 31 lipca 2023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WOJEWODA DOLNOŚLĄSKI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IF-PP.747.72.2023.ESZ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OBWIESZCZENIE WOJEWODY DOLNOŚLĄSKIEGO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 podstawie art. 10 ust. 1 ustawy z dnia 24 lipca 2015 r.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 przygotowaniu i realizacji strategicznych inwestycji w zakresie sieci przesyłowych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(Dz. U. z 2022 r. poz. 273 ze zm.; dalej: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ustawa)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oraz art. 49 ustawy z dnia 14 czerwca 1960 r.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Kodeks postępowania administracyjnego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(Dz. U. z 2023 r. poz. 775 ze zm.; dalej: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kpa),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po rozpatrzeniu wniosku z dnia 23 czerwca 2023 r. (data wpływu: 23.06.2023 r.), uzupełnionego dnia 3 lipca 2023 r., złożonego przez Polskie Sieci Elektroenergetyczne S.A. z siedzibą w Konstancinie-Jeziorna, działające przez pełnomocnika Pana Łukasza Klimczuka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zawiadamiam,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że Wojewoda Dolnośląski dnia 31 lipca 2023 r. wydał decyzję Nr I-Pe-65/23 o ustaleniu lokalizacji strategicznej inwestycji w zakresie sieci przesyłowej dla odpowiednio: przebudowy i remontu linii 220kV polegających na wymianie stanowisk słupowych oraz wymianie przewodów, w ramach zadania inwestycyjnego: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„Modernizacja linii 220kV Mikułowa - Leśniów”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odniesieniu do niżej wymienionych działek gruntu.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l-PL" w:eastAsia="pl-PL" w:bidi="pl-PL"/>
        </w:rPr>
        <w:t>powiat lubański, g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mina Siekierczyn,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obręb Siekierczyn dz. nr: 2010/3 AM2, 954/13 AM1, obręb Rudzica dz. nr: 504 AM1, 510/1 AM1, 367/2 AM1, 367/3AM1, 367/4 AM1;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l-PL" w:eastAsia="pl-PL" w:bidi="pl-PL"/>
        </w:rPr>
        <w:t>powiat bolesławiecki,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 gmina Nowogrodziec,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obręb Godzieszów dz. nr: 206/2, 157/4, 158/2, 161/3, 168/3,205/2, obręb Wykroty dz. nr: 1091/27, 1091/28, 1091/18, 1091/17, 1105/3;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l-PL" w:eastAsia="pl-PL" w:bidi="pl-PL"/>
        </w:rPr>
        <w:t>powiat zgorzelecki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, gmina Sulików,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obręb Mikułowa dz. nr: 10 AM1, 14/3 AM1, 11/1 AM1, 12 AM1;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l-PL" w:eastAsia="pl-PL" w:bidi="pl-PL"/>
        </w:rPr>
        <w:t>powiat zgorzelecki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, gmina Węgliniec - obszar wiejski,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obręb Czerwona Woda dz. nr: 775 AM3, 395/6 AM3, 841 AM5, 2227 AM1, 291/1 AM3, 774 AM5, 2205/2 AM1, 773 AM3, 975 AM5, 298/4 AM3, 985/1 AM5, 291/2 AM3, 976/1 AM5, obręb Jagodzin dz. nr: 321/4 AM1, obręb Stary Węgliniec dz. nr: 979/6 AM2, 979/3 AM2;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l-PL" w:eastAsia="pl-PL" w:bidi="pl-PL"/>
        </w:rPr>
        <w:t>powiat zgorzelecki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, gmina Węgliniec - miasto,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obręb Węgliniec 1 dz. nr: 4/1 AM1, 4/2 AM1, 7 AM1, obręb Węgliniec 2 dz. nr: 237/50 AM1;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l-PL" w:eastAsia="pl-PL" w:bidi="pl-PL"/>
        </w:rPr>
        <w:t>powiat zgorzelecki,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 gmina Zgorzelec,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obręb Sławnikowice dz. nr: 582 AM1, 339/1 AM2, 199 AM1,198 AM1.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Zgodnie z art. 25 ust. 1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decyzja nr I-Pe-65/23 o ustaleniu lokalizacji strategicznej inwestycji w zakresie sieci przesyłowej podlega natychmiastowemu wykonaniu.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treścią wydanej decyzji Wojewody Dolnośląskiego z dnia 31 lipca 2023 r. Nr I-Pe-65/23, można zapoznać się w siedzibie Dolnośląskiego Urzędu Wojewódzkiego we Wrocławiu, pl. Powstańców Warszawy 1, pokój 2104, po wcześniejszym uzgodnieniu telefonicznym daty i godziny przyjęcia (tel. 71 340-66-84).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Zgodnie z art. 49 § 2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Kpa,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wskazuję dzień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8 sierpnia 2023 r.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- data ukazania się obwieszczenia na tablicy ogłoszeń, w Biuletynie Informacji Publicznej, na stronie podmiotowej Dolnośląskiego Urzędu Wojewódzkiego we Wrocławiu, Urzędu Gminy Siekierczyn, Urzędu Gminy Sulików, Urzędu Miejskiego w Nowogrodźcu, Urzędu G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min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y i Miasta Węgliniec, Urzędu Gminy Zgorzelec oraz w prasie o zasięgu ogólnopolskim jako ten, w którym nastąpiło publiczne obwieszczenie.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6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 podstawie art. 10 ust. 2a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zawiadomienie niniejsze, po upływie czternastu dni od dnia ukazania się obwieszczenia na tablicy ogłoszeń, w Biuletynie Informacji Publicznej,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 stronie podmiotowej Dolnośląskiego Urzędu Wojewódzkiego we Wrocławiu, uważa się za dokonane ze skutkiem prawnym z dniem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22 sierpnia 2023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 podstawie art. 10 ust. 2b i art. 25 ust. 2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odwołanie od niniejszej decyzji wnosi się do Ministra Rozwoju i Technologii za pośrednictwem Wojewody Dolnośląskiego w terminie 14 dni od dnia, w którym zawiadomienie o wydaniu decyzji w drodze obwieszczenia uważa się za dokonane.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Odwołanie od decyzji, zgodnie z art. 25 ust. 3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powinno zawierać zarzuty odnoszące się do decyzji, określać istotę i zakres żądania będącego przedmiotem odwołania oraz wskazywać dowody uzasadniające to żądanie. W trakcie biegu terminu do wniesienia odwołania stronom przysługuje prawo do zrzeczenia się prawa do wniesienia odwołania przez ostatnią ze stron postępowania, decyzja staje się ostateczna i prawomocna.</w:t>
      </w:r>
    </w:p>
    <w:p>
      <w:pPr>
        <w:framePr w:w="3360" w:h="2112" w:wrap="notBeside" w:vAnchor="text" w:hAnchor="text" w:x="5876" w:y="1"/>
        <w:widowControl w:val="0"/>
        <w:rPr>
          <w:sz w:val="2"/>
          <w:szCs w:val="2"/>
        </w:rPr>
      </w:pPr>
      <w:r>
        <w:drawing>
          <wp:inline>
            <wp:extent cx="2133600" cy="134112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33600" cy="13411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3730625" distR="1560830" simplePos="0" relativeHeight="125829381" behindDoc="0" locked="0" layoutInCell="1" allowOverlap="1">
                <wp:simplePos x="0" y="0"/>
                <wp:positionH relativeFrom="column">
                  <wp:posOffset>3742690</wp:posOffset>
                </wp:positionH>
                <wp:positionV relativeFrom="paragraph">
                  <wp:posOffset>356870</wp:posOffset>
                </wp:positionV>
                <wp:extent cx="572770" cy="155575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277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Z up. WOJi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294.69999999999999pt;margin-top:28.100000000000001pt;width:45.100000000000001pt;height:12.25pt;z-index:-125829372;mso-wrap-distance-left:293.75pt;mso-wrap-distance-right:122.90000000000001pt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Z up. WOJi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3730625" distR="814070" simplePos="0" relativeHeight="125829383" behindDoc="0" locked="0" layoutInCell="1" allowOverlap="1">
                <wp:simplePos x="0" y="0"/>
                <wp:positionH relativeFrom="column">
                  <wp:posOffset>4377055</wp:posOffset>
                </wp:positionH>
                <wp:positionV relativeFrom="paragraph">
                  <wp:posOffset>636905</wp:posOffset>
                </wp:positionV>
                <wp:extent cx="1319530" cy="45720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953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87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A78FC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 xml:space="preserve">ujfc </w:t>
                            </w:r>
                            <w:r>
                              <w:rPr>
                                <w:i/>
                                <w:i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 xml:space="preserve">Stachera </w:t>
                            </w:r>
                            <w:r>
                              <w:rPr>
                                <w:i/>
                                <w:iCs/>
                                <w:color w:val="A78FC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 xml:space="preserve">\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^DYREKTORA WYDZIAŁI Infrastruktury</w:t>
                              <w:tab/>
                            </w:r>
                            <w:r>
                              <w:rPr>
                                <w:color w:val="A78FC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344.65000000000003pt;margin-top:50.149999999999999pt;width:103.90000000000001pt;height:36.pt;z-index:-125829370;mso-wrap-distance-left:293.75pt;mso-wrap-distance-right:64.099999999999994pt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87" w:val="left"/>
                        </w:tabs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A78FC4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 xml:space="preserve">ujfc </w:t>
                      </w:r>
                      <w:r>
                        <w:rPr>
                          <w:i/>
                          <w:iCs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 xml:space="preserve">Stachera </w:t>
                      </w:r>
                      <w:r>
                        <w:rPr>
                          <w:i/>
                          <w:iCs/>
                          <w:color w:val="A78FC4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 xml:space="preserve">\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^DYREKTORA WYDZIAŁI Infrastruktury</w:t>
                        <w:tab/>
                      </w:r>
                      <w:r>
                        <w:rPr>
                          <w:color w:val="A78FC4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,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3730625" distR="1652270" simplePos="0" relativeHeight="125829385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353695</wp:posOffset>
                </wp:positionV>
                <wp:extent cx="481330" cy="14351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iY DÓLN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360.pt;margin-top:27.850000000000001pt;width:37.899999999999999pt;height:11.300000000000001pt;z-index:-125829368;mso-wrap-distance-left:293.75pt;mso-wrap-distance-right:130.09999999999999pt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iY DÓLN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footnotePr>
        <w:pos w:val="pageBottom"/>
        <w:numFmt w:val="decimal"/>
        <w:numRestart w:val="continuous"/>
      </w:footnotePr>
      <w:pgSz w:w="11900" w:h="16840"/>
      <w:pgMar w:top="871" w:right="1341" w:bottom="1422" w:left="132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Nagłówek #1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Podpis obrazu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color w:val="F595AB"/>
      <w:sz w:val="17"/>
      <w:szCs w:val="17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Nagłówek #1"/>
    <w:basedOn w:val="Normal"/>
    <w:link w:val="CharStyle6"/>
    <w:pPr>
      <w:widowControl w:val="0"/>
      <w:shd w:val="clear" w:color="auto" w:fill="auto"/>
      <w:spacing w:line="204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Podpis obrazu"/>
    <w:basedOn w:val="Normal"/>
    <w:link w:val="CharStyle11"/>
    <w:pPr>
      <w:widowControl w:val="0"/>
      <w:shd w:val="clear" w:color="auto" w:fill="auto"/>
      <w:spacing w:line="27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F595AB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