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21 listopada 2023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15</w:t>
      </w: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  <w:rPr>
          <w:sz w:val="34"/>
          <w:szCs w:val="34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ODBĘDZIE SIĘ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rPr>
          <w:sz w:val="34"/>
          <w:szCs w:val="34"/>
        </w:rPr>
      </w:pPr>
      <w:r>
        <w:rPr>
          <w:i w:val="0"/>
          <w:iCs w:val="0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KOMISJI SPOŁECZNEJ 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406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Informacja o stanie realizacji zadań oświatowych gminy w roku szkolnym 2022/2023.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40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Przygotowanie planu pracy komisji 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40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firstLine="0"/>
        <w:jc w:val="righ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8" w:right="1758" w:bottom="848" w:left="139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40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330"/>
      <w:ind w:right="156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