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22 listopada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Omówienie planów i potrzeb inwestycyjnych na 2024 rok.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1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0" w:right="1758" w:bottom="1130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35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