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13609" w14:textId="77777777" w:rsidR="007C69BD" w:rsidRDefault="007C69BD">
      <w:pPr>
        <w:pStyle w:val="Teksttreci0"/>
        <w:spacing w:after="500" w:line="290" w:lineRule="auto"/>
        <w:ind w:firstLine="0"/>
        <w:jc w:val="center"/>
        <w:rPr>
          <w:b/>
          <w:bCs/>
        </w:rPr>
      </w:pPr>
    </w:p>
    <w:p w14:paraId="5257E98B" w14:textId="77777777" w:rsidR="007C69BD" w:rsidRDefault="007C69BD">
      <w:pPr>
        <w:pStyle w:val="Teksttreci0"/>
        <w:spacing w:after="500" w:line="290" w:lineRule="auto"/>
        <w:ind w:firstLine="0"/>
        <w:jc w:val="center"/>
        <w:rPr>
          <w:b/>
          <w:bCs/>
        </w:rPr>
      </w:pPr>
    </w:p>
    <w:p w14:paraId="31D777E7" w14:textId="6CE2C2CB" w:rsidR="003C2C9F" w:rsidRDefault="00000000">
      <w:pPr>
        <w:pStyle w:val="Teksttreci0"/>
        <w:spacing w:after="500" w:line="290" w:lineRule="auto"/>
        <w:ind w:firstLine="0"/>
        <w:jc w:val="center"/>
      </w:pPr>
      <w:r>
        <w:rPr>
          <w:b/>
          <w:bCs/>
        </w:rPr>
        <w:t>Obwieszczenie o odstąpieniu od przeprowadzenia strategicznej oceny oddziaływania na</w:t>
      </w:r>
      <w:r>
        <w:rPr>
          <w:b/>
          <w:bCs/>
        </w:rPr>
        <w:br/>
        <w:t>środowisko dla projektu „Programu Ochrony Środowiska dla Gminy i Miasta Węgliniec na lata</w:t>
      </w:r>
      <w:r>
        <w:rPr>
          <w:b/>
          <w:bCs/>
        </w:rPr>
        <w:br/>
        <w:t>2024-2027 z perspektywą do roku 2031”</w:t>
      </w:r>
    </w:p>
    <w:p w14:paraId="321F9B88" w14:textId="77777777" w:rsidR="003C2C9F" w:rsidRDefault="00000000">
      <w:pPr>
        <w:pStyle w:val="Teksttreci0"/>
        <w:spacing w:line="254" w:lineRule="auto"/>
        <w:ind w:left="660"/>
        <w:jc w:val="both"/>
      </w:pPr>
      <w:r>
        <w:t>Zgodnie z art. 48 ust. 1 ustawy z dnia 3 października 2008 r. o udostępnianiu informacji o środowisku i jego ochronie, udziale społeczeństwa w ochronie środowiska oraz o ocenach oddziaływania na środowisko (Dz.U. 2023 poz. 1094 ze zm.), organ administracji opracowujący projekt dokumentu może po uzgodnieniu z właściwymi organami, o których mowa w art. 57 i 58 ww. ustawy, odstąpić od przeprowadzenia strategicznej oceny oddziaływania na środowisko, jeżeli uzna, że realizacja postanowień danego dokumentu nie spowoduje znaczącego oddziaływania na środowisko.</w:t>
      </w:r>
    </w:p>
    <w:p w14:paraId="019E763E" w14:textId="77777777" w:rsidR="003C2C9F" w:rsidRDefault="00000000">
      <w:pPr>
        <w:pStyle w:val="Teksttreci0"/>
        <w:ind w:left="660"/>
        <w:jc w:val="both"/>
      </w:pPr>
      <w:r>
        <w:t>Odstąpienie od przeprowadzenia strategicznej oceny oddziaływania na środowisko może dotyczyć wyłącznie projektów dokumentów stanowiących niewielkie modyfikacje w ustaleniach przyjętych już dokumentów lub projektów dokumentów dotyczących obszarów w granicach jednej gminy.</w:t>
      </w:r>
    </w:p>
    <w:p w14:paraId="372AE717" w14:textId="77777777" w:rsidR="003C2C9F" w:rsidRDefault="00000000">
      <w:pPr>
        <w:pStyle w:val="Teksttreci0"/>
        <w:spacing w:after="0"/>
        <w:ind w:left="660"/>
        <w:jc w:val="both"/>
      </w:pPr>
      <w:r>
        <w:t>W piśmie z dnia 28.12.2023 r. (znak: WSI.410.2.108.2023.KM) Regionalny Dyrektor Ochrony Środowiska we Wrocławiu uzgodnił odstąpienie od przeprowadzenia strategicznej oceny oddziaływania na środowisko dla projektu „Programu Ochrony Środowiska dla Gminy i Miasta Węgliniec na lata 2024- 2027 z perspektywą do roku 2031”.</w:t>
      </w:r>
    </w:p>
    <w:p w14:paraId="03F02A89" w14:textId="77777777" w:rsidR="003C2C9F" w:rsidRDefault="00000000">
      <w:pPr>
        <w:pStyle w:val="Teksttreci0"/>
        <w:ind w:left="660"/>
        <w:jc w:val="both"/>
      </w:pPr>
      <w:r>
        <w:t>W piśmie z dnia 11 grudnia 2023 r. (znak: ZNS.9022.4.124.2023. MB) Dolnośląski Państwowy Wojewódzki Inspektor Sanitarny we Wrocławiu uznał, że nie ma potrzeby przeprowadzania strategicznej oceny oddziaływania na środowisko.</w:t>
      </w:r>
    </w:p>
    <w:p w14:paraId="2F9C8C28" w14:textId="77777777" w:rsidR="003C2C9F" w:rsidRDefault="00000000">
      <w:pPr>
        <w:pStyle w:val="Teksttreci0"/>
        <w:spacing w:line="257" w:lineRule="auto"/>
        <w:ind w:left="660"/>
        <w:jc w:val="both"/>
      </w:pPr>
      <w:r>
        <w:t>Mając powyższe na uwadze stwierdza się odstąpienie od przeprowadzenia strategicznej oceny oddziaływania na środowisko dla projektu „Programu Ochrony Środowiska dla Gminy i Miasta Węgliniec na lata 2024-2027 z perspektywą do roku 2031”.</w:t>
      </w:r>
    </w:p>
    <w:p w14:paraId="23B9B1D3" w14:textId="77777777" w:rsidR="003C2C9F" w:rsidRDefault="00000000">
      <w:pPr>
        <w:pStyle w:val="Teksttreci0"/>
        <w:ind w:left="660"/>
        <w:jc w:val="both"/>
      </w:pPr>
      <w:r>
        <w:t>Zgodnie z art. 17 ust. 4 ustawy z dnia 27 kwietnia 2001 r. Prawo ochrony środowiska (Dz.U. 2022 poz. 2556 ze zm.) oraz art. 39 ust. 1 ustawy z dnia 3 października 2008 r. o udostępnianiu informacji o środowisku i jego ochronie, udziale społeczeństwa w ochronie środowiska oraz o ocenach oddziaływania na środowisko (Dz.U. 2023 poz. 1094 ze zm.), Burmistrz Gminy i Miasta Węgliniec poinformował o opracowaniu i wyłożeniu do wglądu publicznego projektu „Programu Ochrony Środowiska dla Gminy i Miasta Węgliniec na lata 2024-2027 z perspektywą do roku 2031”. Konsultacje w formie wyłożenia do wglądu publicznego trwały od 28.11.2023 r. do 18.12.2023 r. Wszyscy zainteresowani mogli składać wnioski, zastrzeżenia bądź uwagi do projektu Programu, które można było zgłaszać na udostępnionym formularzu, który następnie należało przesłać na adres: Urzędu Gminy i Miasta w Węglińcu, lub złożyć osobiście, lub przesłać za pośrednictwem poczty elektronicznej. W wyznaczonym terminie nie wpłynęły żadne uwagi do Programu.</w:t>
      </w:r>
    </w:p>
    <w:p w14:paraId="25E7B695" w14:textId="77777777" w:rsidR="003C2C9F" w:rsidRDefault="00000000">
      <w:pPr>
        <w:pStyle w:val="Teksttreci0"/>
        <w:spacing w:after="1100"/>
        <w:ind w:left="660"/>
        <w:jc w:val="both"/>
      </w:pPr>
      <w:r>
        <w:t>Niniejsze obwieszczenie zostaje podane do publicznej wiadomości poprzez ogłoszenie w Biuletynie Informacji Publicznej Urzędu Gminy i Miasta w Węglińcu oraz na tablicy ogłoszeń w budynku Urzędu. Uzasadnienie odstąpienia od przeprowadzenia strategicznej oceny oddziaływania na środowisko dla projektu „Programu Ochrony Środowiska dla Gminy i Miasta Węgliniec na lata 2024-2027 z perspektywą do roku 2031” zamieszczono w załączniku do niniejszego obwieszczenia.</w:t>
      </w:r>
    </w:p>
    <w:p w14:paraId="156904F9" w14:textId="77777777" w:rsidR="007C69BD" w:rsidRDefault="007C69BD">
      <w:pPr>
        <w:pStyle w:val="Teksttreci0"/>
        <w:spacing w:after="500" w:line="290" w:lineRule="auto"/>
        <w:ind w:firstLine="0"/>
        <w:jc w:val="center"/>
        <w:rPr>
          <w:b/>
          <w:bCs/>
        </w:rPr>
      </w:pPr>
    </w:p>
    <w:p w14:paraId="4BE25290" w14:textId="5E203A4A" w:rsidR="003C2C9F" w:rsidRDefault="00000000">
      <w:pPr>
        <w:pStyle w:val="Teksttreci0"/>
        <w:spacing w:after="500" w:line="290" w:lineRule="auto"/>
        <w:ind w:firstLine="0"/>
        <w:jc w:val="center"/>
      </w:pPr>
      <w:r>
        <w:rPr>
          <w:b/>
          <w:bCs/>
        </w:rPr>
        <w:lastRenderedPageBreak/>
        <w:t>Uzasadnienie odstąpienia od przeprowadzenia strategicznej oceny oddziaływania na</w:t>
      </w:r>
      <w:r>
        <w:rPr>
          <w:b/>
          <w:bCs/>
        </w:rPr>
        <w:br/>
        <w:t>środowisko dla projektu „Programu Ochrony Środowiska dla Gminy i Miasta Węgliniec na lata</w:t>
      </w:r>
      <w:r>
        <w:rPr>
          <w:b/>
          <w:bCs/>
        </w:rPr>
        <w:br/>
        <w:t>2024-2027 z perspektywą do roku 2031”</w:t>
      </w:r>
    </w:p>
    <w:p w14:paraId="44862EB6" w14:textId="77777777" w:rsidR="003C2C9F" w:rsidRDefault="00000000">
      <w:pPr>
        <w:pStyle w:val="Teksttreci0"/>
        <w:spacing w:line="290" w:lineRule="auto"/>
        <w:ind w:left="640"/>
        <w:jc w:val="both"/>
      </w:pPr>
      <w:r>
        <w:t>Sporządzono na podstawie art. 49 ustawy z dnia 3 października 2008 r. o udostępnianiu informacji o środowisku i jego ochronie, udziale społeczeństwa w ochronie środowiska oraz o ocenach oddziaływania na środowisko (Dz.U. 2023 poz. 1094 ze zm.)</w:t>
      </w:r>
    </w:p>
    <w:p w14:paraId="6ABAD222" w14:textId="77777777" w:rsidR="003C2C9F" w:rsidRDefault="00000000">
      <w:pPr>
        <w:pStyle w:val="Teksttreci0"/>
        <w:numPr>
          <w:ilvl w:val="0"/>
          <w:numId w:val="1"/>
        </w:numPr>
        <w:tabs>
          <w:tab w:val="left" w:pos="1038"/>
        </w:tabs>
        <w:ind w:left="1020" w:hanging="340"/>
        <w:jc w:val="both"/>
      </w:pPr>
      <w:r>
        <w:rPr>
          <w:b/>
          <w:bCs/>
        </w:rPr>
        <w:t xml:space="preserve">charakter działań przewidzianych w dokumentach, o których mowa w art. 46 i 47 ust. 1 ustawy </w:t>
      </w:r>
      <w:proofErr w:type="spellStart"/>
      <w:r>
        <w:rPr>
          <w:b/>
          <w:bCs/>
        </w:rPr>
        <w:t>ooś</w:t>
      </w:r>
      <w:proofErr w:type="spellEnd"/>
    </w:p>
    <w:p w14:paraId="1C1C5046" w14:textId="77777777" w:rsidR="003C2C9F" w:rsidRDefault="00000000">
      <w:pPr>
        <w:pStyle w:val="Teksttreci0"/>
        <w:ind w:left="1420" w:hanging="380"/>
        <w:jc w:val="both"/>
      </w:pPr>
      <w:r>
        <w:rPr>
          <w:b/>
          <w:bCs/>
        </w:rPr>
        <w:t>a) stopień, w jakim dokument ustala ramy dla późniejszej realizacji przedsięwzięć w odniesieniu do usytuowania, rodzaju i skali tych przedsięwzięć</w:t>
      </w:r>
    </w:p>
    <w:p w14:paraId="054052D1" w14:textId="77777777" w:rsidR="003C2C9F" w:rsidRDefault="00000000">
      <w:pPr>
        <w:pStyle w:val="Teksttreci0"/>
        <w:ind w:left="640"/>
        <w:jc w:val="both"/>
      </w:pPr>
      <w:r>
        <w:t xml:space="preserve">Przedmiotowy projekt Programu kwalifikuje się do projektu dokumentów wymienionych w art. 46 ust. 1 pkt 2 ustawy </w:t>
      </w:r>
      <w:proofErr w:type="spellStart"/>
      <w:r>
        <w:t>ooś</w:t>
      </w:r>
      <w:proofErr w:type="spellEnd"/>
      <w:r>
        <w:t xml:space="preserve">. Zgodnie z przedstawionymi poniżej przesłankami, realizacja postanowień Programu nie spowoduje znaczącego oddziaływania na środowisko, w tym na obszary Natura 2000, o czym mowa w art. 48 ust. 1 ustawy </w:t>
      </w:r>
      <w:proofErr w:type="spellStart"/>
      <w:r>
        <w:t>ooś</w:t>
      </w:r>
      <w:proofErr w:type="spellEnd"/>
      <w:r>
        <w:t>. Ponadto działania wynikające z Programu będą realizowane w granicach administracyjnych jednej gminy. Dla przedmiotowego projektu Programu istnieje zatem możliwość odstąpienia od przeprowadzenia strategicznej oceny oddziaływania na środowisko.</w:t>
      </w:r>
    </w:p>
    <w:p w14:paraId="0FB5D70C" w14:textId="77777777" w:rsidR="003C2C9F" w:rsidRDefault="00000000">
      <w:pPr>
        <w:pStyle w:val="Teksttreci0"/>
        <w:ind w:firstLine="640"/>
      </w:pPr>
      <w:r>
        <w:t>W Programie wskazano następujące zadania:</w:t>
      </w:r>
    </w:p>
    <w:p w14:paraId="4E07A6E6" w14:textId="77777777" w:rsidR="003C2C9F" w:rsidRDefault="00000000">
      <w:pPr>
        <w:pStyle w:val="Teksttreci0"/>
        <w:numPr>
          <w:ilvl w:val="0"/>
          <w:numId w:val="2"/>
        </w:numPr>
        <w:tabs>
          <w:tab w:val="left" w:pos="1046"/>
        </w:tabs>
        <w:spacing w:after="0" w:line="259" w:lineRule="auto"/>
        <w:ind w:left="1020" w:hanging="340"/>
        <w:jc w:val="both"/>
      </w:pPr>
      <w:r>
        <w:t>Dofinansowanie do wymiany źródeł ciepła w budynkach i lokalach mieszkalnych na terenie gminy i miasta Węgliniec w ramach „Ciepłe mieszkanie”</w:t>
      </w:r>
    </w:p>
    <w:p w14:paraId="169AA098" w14:textId="77777777" w:rsidR="003C2C9F" w:rsidRDefault="00000000">
      <w:pPr>
        <w:pStyle w:val="Teksttreci0"/>
        <w:numPr>
          <w:ilvl w:val="0"/>
          <w:numId w:val="2"/>
        </w:numPr>
        <w:tabs>
          <w:tab w:val="left" w:pos="1038"/>
        </w:tabs>
        <w:spacing w:after="0" w:line="259" w:lineRule="auto"/>
        <w:ind w:left="640"/>
      </w:pPr>
      <w:r>
        <w:t>Poprawa efektywności energetycznej budynków przedszkolnych w Ruszowie i w Czerwonej Wodzie — Termomodernizacja budynku użyteczności publicznej przy ul. Sikorskiego 40 w Węglińcu — Bieżące remonty nawierzchni dróg</w:t>
      </w:r>
    </w:p>
    <w:p w14:paraId="450FB54B" w14:textId="77777777" w:rsidR="003C2C9F" w:rsidRDefault="00000000">
      <w:pPr>
        <w:pStyle w:val="Teksttreci0"/>
        <w:numPr>
          <w:ilvl w:val="0"/>
          <w:numId w:val="2"/>
        </w:numPr>
        <w:tabs>
          <w:tab w:val="left" w:pos="1046"/>
        </w:tabs>
        <w:spacing w:after="0" w:line="259" w:lineRule="auto"/>
        <w:ind w:left="1020" w:hanging="340"/>
        <w:jc w:val="both"/>
      </w:pPr>
      <w:r>
        <w:t>Rozbudowa sieci wodociągowej i kanalizacyjnej oraz oczyszczalni ścieków w Ruszowie i przebudowa sieci wodociągowej i kanalizacyjnej w Węglińcu</w:t>
      </w:r>
    </w:p>
    <w:p w14:paraId="06AAE26E" w14:textId="77777777" w:rsidR="003C2C9F" w:rsidRDefault="00000000">
      <w:pPr>
        <w:pStyle w:val="Teksttreci0"/>
        <w:numPr>
          <w:ilvl w:val="0"/>
          <w:numId w:val="2"/>
        </w:numPr>
        <w:tabs>
          <w:tab w:val="left" w:pos="1038"/>
        </w:tabs>
        <w:spacing w:after="0" w:line="259" w:lineRule="auto"/>
        <w:ind w:firstLine="640"/>
      </w:pPr>
      <w:r>
        <w:t>Budowa kanalizacji w miejscowości Czerwona Woda</w:t>
      </w:r>
    </w:p>
    <w:p w14:paraId="64BD43D1" w14:textId="77777777" w:rsidR="003C2C9F" w:rsidRDefault="00000000">
      <w:pPr>
        <w:pStyle w:val="Teksttreci0"/>
        <w:numPr>
          <w:ilvl w:val="0"/>
          <w:numId w:val="2"/>
        </w:numPr>
        <w:tabs>
          <w:tab w:val="left" w:pos="1038"/>
        </w:tabs>
        <w:spacing w:after="0" w:line="259" w:lineRule="auto"/>
        <w:ind w:firstLine="640"/>
      </w:pPr>
      <w:r>
        <w:t>Budowa przydomowych oczyszczalni ścieków w gminie Węgliniec</w:t>
      </w:r>
    </w:p>
    <w:p w14:paraId="4BDF890F" w14:textId="77777777" w:rsidR="003C2C9F" w:rsidRDefault="00000000">
      <w:pPr>
        <w:pStyle w:val="Teksttreci0"/>
        <w:numPr>
          <w:ilvl w:val="0"/>
          <w:numId w:val="2"/>
        </w:numPr>
        <w:tabs>
          <w:tab w:val="left" w:pos="1038"/>
        </w:tabs>
        <w:spacing w:after="0" w:line="259" w:lineRule="auto"/>
        <w:ind w:firstLine="640"/>
      </w:pPr>
      <w:r>
        <w:t>Budowa Punktu Selektywnej Zbiórki Odpadów Komunalnych w Węglińcu</w:t>
      </w:r>
    </w:p>
    <w:p w14:paraId="5999E003" w14:textId="77777777" w:rsidR="003C2C9F" w:rsidRDefault="00000000">
      <w:pPr>
        <w:pStyle w:val="Teksttreci0"/>
        <w:numPr>
          <w:ilvl w:val="0"/>
          <w:numId w:val="2"/>
        </w:numPr>
        <w:tabs>
          <w:tab w:val="left" w:pos="1038"/>
        </w:tabs>
        <w:spacing w:after="0" w:line="259" w:lineRule="auto"/>
        <w:ind w:firstLine="640"/>
      </w:pPr>
      <w:r>
        <w:t>Utrzymanie czystości na terenie Gminy i Miasta Węgliniec</w:t>
      </w:r>
    </w:p>
    <w:p w14:paraId="7F33AB94" w14:textId="77777777" w:rsidR="003C2C9F" w:rsidRDefault="00000000">
      <w:pPr>
        <w:pStyle w:val="Teksttreci0"/>
        <w:numPr>
          <w:ilvl w:val="0"/>
          <w:numId w:val="2"/>
        </w:numPr>
        <w:tabs>
          <w:tab w:val="left" w:pos="1038"/>
        </w:tabs>
        <w:spacing w:after="0" w:line="259" w:lineRule="auto"/>
        <w:ind w:firstLine="640"/>
      </w:pPr>
      <w:r>
        <w:t>Utrzymanie zieleni</w:t>
      </w:r>
    </w:p>
    <w:p w14:paraId="7C4A3A75" w14:textId="77777777" w:rsidR="003C2C9F" w:rsidRDefault="00000000">
      <w:pPr>
        <w:pStyle w:val="Teksttreci0"/>
        <w:numPr>
          <w:ilvl w:val="0"/>
          <w:numId w:val="2"/>
        </w:numPr>
        <w:tabs>
          <w:tab w:val="left" w:pos="1038"/>
        </w:tabs>
        <w:spacing w:after="0" w:line="259" w:lineRule="auto"/>
        <w:ind w:firstLine="640"/>
      </w:pPr>
      <w:r>
        <w:t>Budowa infrastruktury turystyczno-rekreacyjnej przy stawie w Czerwonej Wodzie</w:t>
      </w:r>
    </w:p>
    <w:p w14:paraId="46B197B6" w14:textId="77777777" w:rsidR="003C2C9F" w:rsidRDefault="00000000">
      <w:pPr>
        <w:pStyle w:val="Teksttreci0"/>
        <w:numPr>
          <w:ilvl w:val="0"/>
          <w:numId w:val="2"/>
        </w:numPr>
        <w:tabs>
          <w:tab w:val="left" w:pos="1038"/>
        </w:tabs>
        <w:spacing w:after="280" w:line="259" w:lineRule="auto"/>
        <w:ind w:firstLine="640"/>
      </w:pPr>
      <w:r>
        <w:t>Dotacja dla OSP).</w:t>
      </w:r>
    </w:p>
    <w:p w14:paraId="2615E8AD" w14:textId="77777777" w:rsidR="003C2C9F" w:rsidRDefault="00000000">
      <w:pPr>
        <w:pStyle w:val="Teksttreci0"/>
        <w:ind w:left="640"/>
        <w:jc w:val="both"/>
      </w:pPr>
      <w:r>
        <w:t>Realizacja planowanych zadań ma na celu poprawę stanu środowiska na terenie gminy i miasta, nie wpłynie znacząco negatywnie na środowisko, w tym na znajdujące się na terenie gminy i miasta formy ochrony przyrody.</w:t>
      </w:r>
    </w:p>
    <w:p w14:paraId="318BFA3C" w14:textId="77777777" w:rsidR="003C2C9F" w:rsidRDefault="00000000">
      <w:pPr>
        <w:pStyle w:val="Teksttreci0"/>
        <w:numPr>
          <w:ilvl w:val="0"/>
          <w:numId w:val="3"/>
        </w:numPr>
        <w:tabs>
          <w:tab w:val="left" w:pos="1390"/>
        </w:tabs>
        <w:ind w:left="1020" w:firstLine="0"/>
      </w:pPr>
      <w:r>
        <w:rPr>
          <w:b/>
          <w:bCs/>
        </w:rPr>
        <w:t>powiązania z działaniami przewidzianymi w innych dokumentach</w:t>
      </w:r>
    </w:p>
    <w:p w14:paraId="620B8AEA" w14:textId="77777777" w:rsidR="003C2C9F" w:rsidRDefault="00000000">
      <w:pPr>
        <w:pStyle w:val="Teksttreci0"/>
        <w:ind w:left="640"/>
        <w:jc w:val="both"/>
      </w:pPr>
      <w:r>
        <w:t>Cele wskazane w Programie wynikają z obowiązujących aktów prawnych, programów wyższego rzędu oraz dokumentów planistycznych na szczeblu krajowym, wojewódzkim, powiatowym oraz gminnym. Powiązanie przedmiotowego Programu z dokumentami strategicznymi i programowymi przedstawiono w rozdziale 6 Programu.</w:t>
      </w:r>
    </w:p>
    <w:p w14:paraId="6FDD18E8" w14:textId="77777777" w:rsidR="003C2C9F" w:rsidRDefault="00000000">
      <w:pPr>
        <w:pStyle w:val="Teksttreci0"/>
        <w:numPr>
          <w:ilvl w:val="0"/>
          <w:numId w:val="3"/>
        </w:numPr>
        <w:tabs>
          <w:tab w:val="left" w:pos="1390"/>
        </w:tabs>
        <w:ind w:left="1360" w:hanging="320"/>
        <w:jc w:val="both"/>
      </w:pPr>
      <w:r>
        <w:rPr>
          <w:b/>
          <w:bCs/>
        </w:rPr>
        <w:t>przydatność w uwzględnieniu aspektów środowiskowych, w szczególności w celu wspierania zrównoważonego rozwoju, oraz we wdrażaniu prawa wspólnotowego w dziedzinie ochrony środowiska</w:t>
      </w:r>
    </w:p>
    <w:p w14:paraId="10117DB0" w14:textId="77777777" w:rsidR="003C2C9F" w:rsidRDefault="00000000">
      <w:pPr>
        <w:pStyle w:val="Teksttreci0"/>
        <w:ind w:left="640"/>
        <w:jc w:val="both"/>
        <w:sectPr w:rsidR="003C2C9F">
          <w:pgSz w:w="11900" w:h="16840"/>
          <w:pgMar w:top="2077" w:right="1294" w:bottom="1698" w:left="776" w:header="0" w:footer="3" w:gutter="0"/>
          <w:cols w:space="720"/>
          <w:noEndnote/>
          <w:docGrid w:linePitch="360"/>
        </w:sectPr>
      </w:pPr>
      <w:r>
        <w:t>W Programie określono cele, kierunki interwencji i zadania zmierzające do zapewnienia zrównoważonego rozwoju i wsparcia wdrażania prawa wspólnotowego w dziedzinie ochrony środowiska. Realizacja planowanych zadań wpłynie na zmniejszenie zapotrzebowania i zużycia energii cieplnej poprzez zwiększenie efektywności energetycznej budynków oraz zmniejszenie emisji CO2, ograniczenie natężenia hałasu wzdłuż ciągów komunikacyjnych, poprawę stanu infrastruktury</w:t>
      </w:r>
    </w:p>
    <w:p w14:paraId="0A0F70BA" w14:textId="77777777" w:rsidR="003C2C9F" w:rsidRDefault="00000000">
      <w:pPr>
        <w:pStyle w:val="Teksttreci0"/>
        <w:spacing w:after="120"/>
        <w:ind w:left="620" w:firstLine="60"/>
        <w:jc w:val="both"/>
      </w:pPr>
      <w:r>
        <w:lastRenderedPageBreak/>
        <w:t>oczyszczania ścieków oraz zaopatrzenia w wodę, zapewnienie racjonalnej gospodarka odpadami, ochronę i poprawę stanu zasobów przyrodniczych, zwiększenie świadomości przyrodniczej społeczeństwa, wsparcie jednostek odpowiedzialnych za poziom bezpieczeństwa.</w:t>
      </w:r>
    </w:p>
    <w:p w14:paraId="0D64545C" w14:textId="77777777" w:rsidR="003C2C9F" w:rsidRDefault="00000000">
      <w:pPr>
        <w:pStyle w:val="Teksttreci0"/>
        <w:numPr>
          <w:ilvl w:val="0"/>
          <w:numId w:val="3"/>
        </w:numPr>
        <w:tabs>
          <w:tab w:val="left" w:pos="1435"/>
        </w:tabs>
        <w:spacing w:after="120"/>
        <w:ind w:left="1060" w:firstLine="0"/>
        <w:jc w:val="both"/>
      </w:pPr>
      <w:r>
        <w:rPr>
          <w:b/>
          <w:bCs/>
        </w:rPr>
        <w:t>powiązania z problemami dotyczącymi ochrony środowiska</w:t>
      </w:r>
    </w:p>
    <w:p w14:paraId="5D04F728" w14:textId="77777777" w:rsidR="003C2C9F" w:rsidRDefault="00000000">
      <w:pPr>
        <w:pStyle w:val="Teksttreci0"/>
        <w:spacing w:after="120"/>
        <w:ind w:left="620" w:firstLine="60"/>
        <w:jc w:val="both"/>
      </w:pPr>
      <w:r>
        <w:t>Realizacja założeń Programu ma na celu ochronę środowiska i podniesienie jakości życia mieszkańców z zachowaniem zasad zrównoważonego rozwoju.</w:t>
      </w:r>
    </w:p>
    <w:p w14:paraId="228A9A0A" w14:textId="77777777" w:rsidR="003C2C9F" w:rsidRDefault="00000000">
      <w:pPr>
        <w:pStyle w:val="Teksttreci0"/>
        <w:spacing w:after="120"/>
        <w:ind w:firstLine="620"/>
        <w:jc w:val="both"/>
      </w:pPr>
      <w:r>
        <w:t>Realizacja ujętych w Programie zadań wpłynie na:</w:t>
      </w:r>
    </w:p>
    <w:p w14:paraId="3A4449AD" w14:textId="77777777" w:rsidR="003C2C9F" w:rsidRDefault="00000000">
      <w:pPr>
        <w:pStyle w:val="Teksttreci0"/>
        <w:numPr>
          <w:ilvl w:val="0"/>
          <w:numId w:val="4"/>
        </w:numPr>
        <w:tabs>
          <w:tab w:val="left" w:pos="1011"/>
        </w:tabs>
        <w:spacing w:after="0" w:line="266" w:lineRule="auto"/>
        <w:ind w:left="620" w:firstLine="60"/>
        <w:jc w:val="both"/>
      </w:pPr>
      <w:r>
        <w:t>poprawę jakości powietrza atmosferycznego, — poprawę klimatu akustycznego,</w:t>
      </w:r>
    </w:p>
    <w:p w14:paraId="68CB35BB" w14:textId="77777777" w:rsidR="003C2C9F" w:rsidRDefault="00000000">
      <w:pPr>
        <w:pStyle w:val="Teksttreci0"/>
        <w:numPr>
          <w:ilvl w:val="0"/>
          <w:numId w:val="4"/>
        </w:numPr>
        <w:tabs>
          <w:tab w:val="left" w:pos="1011"/>
        </w:tabs>
        <w:spacing w:after="0" w:line="266" w:lineRule="auto"/>
        <w:ind w:firstLine="620"/>
        <w:jc w:val="both"/>
      </w:pPr>
      <w:r>
        <w:t>wzrost dostępu do infrastruktury wodno-ściekowej,</w:t>
      </w:r>
    </w:p>
    <w:p w14:paraId="56D93680" w14:textId="77777777" w:rsidR="003C2C9F" w:rsidRDefault="00000000">
      <w:pPr>
        <w:pStyle w:val="Teksttreci0"/>
        <w:numPr>
          <w:ilvl w:val="0"/>
          <w:numId w:val="4"/>
        </w:numPr>
        <w:tabs>
          <w:tab w:val="left" w:pos="1011"/>
        </w:tabs>
        <w:spacing w:after="0" w:line="266" w:lineRule="auto"/>
        <w:ind w:left="620" w:firstLine="60"/>
        <w:jc w:val="both"/>
      </w:pPr>
      <w:r>
        <w:t>zrównoważony rozwój systemu gospodarowania odpadami, — zachowanie i ochronę walorów przyrodniczych,</w:t>
      </w:r>
    </w:p>
    <w:p w14:paraId="660CB818" w14:textId="77777777" w:rsidR="003C2C9F" w:rsidRDefault="00000000">
      <w:pPr>
        <w:pStyle w:val="Teksttreci0"/>
        <w:numPr>
          <w:ilvl w:val="0"/>
          <w:numId w:val="4"/>
        </w:numPr>
        <w:tabs>
          <w:tab w:val="left" w:pos="1041"/>
        </w:tabs>
        <w:spacing w:after="120" w:line="266" w:lineRule="auto"/>
        <w:ind w:left="620" w:firstLine="60"/>
        <w:jc w:val="both"/>
      </w:pPr>
      <w:r>
        <w:t>ochronę przed poważnymi awariami i zagrożeniami naturalnymi.</w:t>
      </w:r>
    </w:p>
    <w:p w14:paraId="10FF6AA1" w14:textId="77777777" w:rsidR="003C2C9F" w:rsidRDefault="00000000">
      <w:pPr>
        <w:pStyle w:val="Teksttreci0"/>
        <w:numPr>
          <w:ilvl w:val="0"/>
          <w:numId w:val="5"/>
        </w:numPr>
        <w:tabs>
          <w:tab w:val="left" w:pos="1011"/>
        </w:tabs>
        <w:spacing w:after="120"/>
        <w:ind w:firstLine="620"/>
        <w:jc w:val="both"/>
      </w:pPr>
      <w:r>
        <w:rPr>
          <w:b/>
          <w:bCs/>
        </w:rPr>
        <w:t>rodzaj i skala oddziaływania na środowisko, w szczególności:</w:t>
      </w:r>
    </w:p>
    <w:p w14:paraId="31AA6A45" w14:textId="77777777" w:rsidR="003C2C9F" w:rsidRDefault="00000000">
      <w:pPr>
        <w:pStyle w:val="Teksttreci0"/>
        <w:numPr>
          <w:ilvl w:val="0"/>
          <w:numId w:val="6"/>
        </w:numPr>
        <w:tabs>
          <w:tab w:val="left" w:pos="1435"/>
        </w:tabs>
        <w:spacing w:after="120" w:line="240" w:lineRule="auto"/>
        <w:ind w:left="1420" w:hanging="340"/>
        <w:jc w:val="both"/>
      </w:pPr>
      <w:r>
        <w:rPr>
          <w:b/>
          <w:bCs/>
        </w:rPr>
        <w:t>prawdopodobieństwo wystąpienia, czas trwania, zasięg, częstotliwość i odwracalność oddziaływań</w:t>
      </w:r>
    </w:p>
    <w:p w14:paraId="71BBB35A" w14:textId="77777777" w:rsidR="003C2C9F" w:rsidRDefault="00000000">
      <w:pPr>
        <w:pStyle w:val="Teksttreci0"/>
        <w:spacing w:after="120"/>
        <w:ind w:left="620" w:firstLine="60"/>
        <w:jc w:val="both"/>
      </w:pPr>
      <w:r>
        <w:t xml:space="preserve">Realizacja Programu nie wywiera znaczącego negatywnego oddziaływania na środowisko, w tym na obszary chronione. Oddziaływanie, które wystąpi w wyniku realizacji planowanych zadań, będzie krótkotrwałe i dotyczy okresu wykonywania prac budowlanych, zasięg oddziaływań ogranicza się do placu budowy oraz miejsc przechowywania materiałów i sprzętu budowlanego. Oddziaływania są odwracalne i ustąpią w chwili zakończenia prac budowlanych. Po ich wykonaniu tereny zostaną przywrócone do stanu pierwotnego, a ewentualne wycinki drzew i krzewów zostaną skompensowane nowymi </w:t>
      </w:r>
      <w:proofErr w:type="spellStart"/>
      <w:r>
        <w:t>nasadzeniami</w:t>
      </w:r>
      <w:proofErr w:type="spellEnd"/>
      <w:r>
        <w:t>.</w:t>
      </w:r>
    </w:p>
    <w:p w14:paraId="48DC7F2D" w14:textId="77777777" w:rsidR="003C2C9F" w:rsidRDefault="00000000">
      <w:pPr>
        <w:pStyle w:val="Teksttreci0"/>
        <w:spacing w:after="120"/>
        <w:ind w:left="620" w:firstLine="60"/>
        <w:jc w:val="both"/>
      </w:pPr>
      <w:r>
        <w:t>Wystąpienie oddziaływań na środowisko związane jest z realizacją prac budowlanych, w wyniku których powstanie nowa bądź przebudowana zostanie dotychczasowa infrastruktura i obiekty. Oddziaływanie na środowisko, które wystąpi w fazie realizacji przedsięwzięć, można scharakteryzować jak chwilowe, nieciągłe, o niewielkim natężeniu, skoncentrowane w granicach placu budowy obiektów i wzdłuż trasy realizacji inwestycji liniowych. Oddziaływanie nie przekroczy standardów jakości środowiska poza granicami terenu, na którym będą prowadzone prace. W trakcie realizacji zadań planuje się prowadzenie robót budowlanych wyłącznie w porze dziennej dla zminimalizowania wpływu hałasu na otoczenie pochodzącego z pracy maszyn budowlanych. Wzrost emisji spalin z wykorzystywanych maszyn budowlanych nie przekroczy dopuszczalnych norm. Na etapie prac budowlanych nieunikniona jest ingerencja w pokrywę glebową. Działanie to jest niezbędne lecz nie spowoduje pogorszenia stanu środowiska. Podczas realizacji inwestycji liniowych przestrzegane powinny być zapisy art. 87a ust. 1 ustawy o ochronie przyrody. Prace ziemne w obrębie korzeni, pnia lub korony drzewa lub w obrębie korzeni lub pędów krzewu przeprowadzane powinny być w sposób najmniej szkodzący drzewom lub krzewom. Sprzęt i materiały wykorzystywane do przeprowadzenia prac spełniać będą odpowiednie normy jakościowe i środowiskowe. Prace odbywać się będą poza okresem lęgowym ptaków, rozrodu płazów.</w:t>
      </w:r>
    </w:p>
    <w:p w14:paraId="4E07C860" w14:textId="77777777" w:rsidR="003C2C9F" w:rsidRDefault="00000000">
      <w:pPr>
        <w:pStyle w:val="Teksttreci0"/>
        <w:ind w:left="620" w:firstLine="60"/>
        <w:jc w:val="both"/>
      </w:pPr>
      <w:r>
        <w:t>Inwestycje, które zaliczają się do przedsięwzięć mogących potencjalnie znacząco oddziaływać na środowisko, to inwestycje w zakresie infrastruktury kanalizacyjnej. Rurociągi zostaną wykonane z atestowanych materiałów, gwarantując wysoki stopień szczelności, zabezpieczając przed wyciekiem ścieków do gruntu i wód. Prace budowalne będą prowadzone w pasach istniejących dróg lub gruntów ornych. Wszystkie prace odbywać się będą przy użyciu sprzętu sprawnego technicznie. Ścieki bytowe powstające na etapie realizacji będą magazynowane w przenośnych sanitariatach i wywożone przez uprawnione podmioty do oczyszczalni ścieków. Odpady będą gromadzone w odpowiednich pojemnikach i przekazywane podmiotom posiadającym stosowne pozwolenia. W sytuacji wystąpienia wycieku substancji zanieczyszczających stosowane będą sorbenty. Inwestycje dotyczące infrastruktury wodno-kanalizacyjnej nie będą źródłem zanieczyszczenia do wód, z uwagi na zastosowane materiały, które zapewnią szczelność sieci. W wyniku realizacji zadań poprawie ulegnie stan sanitarny terenu, co może wpłynąć na poprawę jakości wód powierzchniowych i podziemnych. Wystąpi chwilowe niekorzystne oddziaływanie hałasu związane z etapem budowy, powodowane przez ruch pojazdów dostarczających materiały budowlane na plac budowy oraz maszyny i urządzenia pracujące na placu budowy. Eksploatacja przedsięwzięcia nie będzie powodowała emisji w zakresie hałasu i nie spowoduje przekroczenia standardów jakości środowiska. Źródłem emisji substancji do powietrza będą procesy spalania paliw w silnikach maszyn i urządzeń pracujących podczas prac budowlanych. Wskazane oddziaływania będą występowały na etapie realizacji inwestycji i ustaną po zakończeniu prac. Etap eksploatacji nie będzie związany z oddziaływaniem hałasu oraz substancji do powietrza. Ewentualne odwodnienie wykopów i lokalne obniżenie poziomu wody będzie tymczasowe, a po zaprzestaniu prac odwodnieniowych ich poziom wróci do stanu wyjściowego. Woda z odwodnienia będzie odprowadzana do najbliższego cieku wodnego.</w:t>
      </w:r>
    </w:p>
    <w:p w14:paraId="1B9EDB5A" w14:textId="77777777" w:rsidR="003C2C9F" w:rsidRDefault="00000000">
      <w:pPr>
        <w:pStyle w:val="Teksttreci0"/>
        <w:ind w:left="620"/>
        <w:jc w:val="both"/>
      </w:pPr>
      <w:r>
        <w:lastRenderedPageBreak/>
        <w:t>Na etapie eksploatacji powstałej w wyniku realizacji Programu infrastruktury lub obiektów nie przewiduje się znaczącego oddziaływania. W przypadku powstałej infrastruktury kanalizacyjnej niezbędny jest monitoring sprawności systemu i szczelności sieci, którego celem jest zapobieganie wystąpienia awarii i ewentualnego przedostania się nieczystości do gleby i wód. Po zakończeniu realizacji pozostałych planowanych zadań nie występuje ryzyko negatywnego oddziaływania na środowisko.</w:t>
      </w:r>
    </w:p>
    <w:p w14:paraId="3851C252" w14:textId="77777777" w:rsidR="003C2C9F" w:rsidRDefault="00000000">
      <w:pPr>
        <w:pStyle w:val="Teksttreci0"/>
        <w:ind w:left="620"/>
        <w:jc w:val="both"/>
      </w:pPr>
      <w:r>
        <w:t>Realizacja pozostałych zadań nie powoduje zmian w dotychczasowej infrastrukturze i zagospodarowaniu przestrzennym gminy i miasta i nie wiąże się z wystąpieniem bezpośrednich oddziaływań na środowisko. Nie powoduje też żadnych zagrożeń dla roślin, zwierząt i ludzi. W dłużej perspektywie wykonane czynności będą wiązały się z pozytywnym oddziaływaniem na środowisko.</w:t>
      </w:r>
    </w:p>
    <w:p w14:paraId="3398873A" w14:textId="77777777" w:rsidR="003C2C9F" w:rsidRDefault="00000000">
      <w:pPr>
        <w:pStyle w:val="Teksttreci0"/>
        <w:numPr>
          <w:ilvl w:val="0"/>
          <w:numId w:val="6"/>
        </w:numPr>
        <w:tabs>
          <w:tab w:val="left" w:pos="1360"/>
        </w:tabs>
        <w:ind w:firstLine="980"/>
        <w:jc w:val="both"/>
      </w:pPr>
      <w:r>
        <w:rPr>
          <w:b/>
          <w:bCs/>
        </w:rPr>
        <w:t>prawdopodobieństwo wystąpienia oddziaływań skumulowanych lub transgranicznych</w:t>
      </w:r>
    </w:p>
    <w:p w14:paraId="7D8881D3" w14:textId="77777777" w:rsidR="003C2C9F" w:rsidRDefault="00000000">
      <w:pPr>
        <w:pStyle w:val="Teksttreci0"/>
        <w:ind w:left="620"/>
        <w:jc w:val="both"/>
      </w:pPr>
      <w:r>
        <w:t>Oddziaływania skumulowane mogą wystąpić w przypadku jednoczesnego wdrażania kilku zadań przewidzianych do realizacji w ramach Programu. Jest to jednak kwestia uzależniona od harmonogramu prowadzonych robót i na obecnym etapie trudna do zidentyfikowania. Aby uniknąć uciążliwości związanych z oddziaływaniami skumulowanymi, należy dokładnie ustalić harmonogram prac oraz na bieżąco informować z określonym wyprzedzeniem zainteresowane strony (tj. mieszkańców, administratorów sieci infrastrukturalnych) o zamiarze prowadzenia prac budowlanych.</w:t>
      </w:r>
    </w:p>
    <w:p w14:paraId="78E97FF9" w14:textId="77777777" w:rsidR="003C2C9F" w:rsidRDefault="00000000">
      <w:pPr>
        <w:pStyle w:val="Teksttreci0"/>
        <w:spacing w:line="254" w:lineRule="auto"/>
        <w:ind w:left="620"/>
        <w:jc w:val="both"/>
      </w:pPr>
      <w:r>
        <w:t>Korzystne dla środowiska naturalnego oraz zdrowia i jakości życia mieszkańców jest także łączenie realizacji poszczególnych prac w obrębie tych samych obiektów przez różnych administratorów, w tym samym czasie - np. podczas modernizacji nawierzchni odcinka drogi można wykonać wszystkie planowane prace na sieciach infrastruktury zlokalizowanych w pasie drogowym.</w:t>
      </w:r>
    </w:p>
    <w:p w14:paraId="30DF6B45" w14:textId="77777777" w:rsidR="003C2C9F" w:rsidRDefault="00000000">
      <w:pPr>
        <w:pStyle w:val="Teksttreci0"/>
        <w:ind w:left="620"/>
        <w:jc w:val="both"/>
      </w:pPr>
      <w:r>
        <w:t>Nie zidentyfikowano oddziaływań skumulowanych wynikających z realizacji innych programów lub planów na tym terenie w tym samym czasie. Realizacja założeń Programu nie powoduje ryzyka wystąpienia skumulowanego oddziaływania na środowisko ani oddziaływań transgranicznych w trakcie realizacji planowanych zadań, jak i eksploatacji powstałej infrastruktury lub obiektów. Zadania będą realizowane na terenie gminy i miasta Węgliniec, a ich oddziaływanie nie będzie wykraczać poza granice gminy. Nie zachodzą przesłanki do przeprowadzenia postępowania w sprawie oceny oddziaływania na środowisko w kontekście transgranicznym.</w:t>
      </w:r>
    </w:p>
    <w:p w14:paraId="0622FAA1" w14:textId="77777777" w:rsidR="003C2C9F" w:rsidRDefault="00000000">
      <w:pPr>
        <w:pStyle w:val="Teksttreci0"/>
        <w:numPr>
          <w:ilvl w:val="0"/>
          <w:numId w:val="6"/>
        </w:numPr>
        <w:tabs>
          <w:tab w:val="left" w:pos="1360"/>
        </w:tabs>
        <w:spacing w:line="259" w:lineRule="auto"/>
        <w:ind w:left="1340" w:hanging="340"/>
        <w:jc w:val="both"/>
      </w:pPr>
      <w:r>
        <w:rPr>
          <w:b/>
          <w:bCs/>
        </w:rPr>
        <w:t>prawdopodobieństwo wystąpienia ryzyka dla zdrowia ludzi lub zagrożenia dla środowiska</w:t>
      </w:r>
    </w:p>
    <w:p w14:paraId="06F5ADAF" w14:textId="77777777" w:rsidR="003C2C9F" w:rsidRDefault="00000000">
      <w:pPr>
        <w:pStyle w:val="Teksttreci0"/>
        <w:ind w:left="620"/>
        <w:jc w:val="both"/>
      </w:pPr>
      <w:r>
        <w:t>Nie przewiduje się możliwości wystąpienia ryzyka dla zdrowia ludzi lub zagrożenia dla środowiska. W trakcie realizacji prac będą przestrzegane obowiązujące normy i przepisy w zakresie ochrony środowiska oraz przepisy BHP, zapewniona zostanie ochrona dla osób oraz własności publicznej poprzez unikanie uciążliwości, skażenia środowiska i hałasu. Inwestycje przewidziane do realizacji w Programie, ze względu na rodzaj i usytuowanie, nie będą powodować negatywnego oddziaływania na środowisko oraz zdrowie ludzi, zarówno w fazie realizacji, jak i eksploatacji. Wszystkie działania zaplanowane do realizacji w ramach Programu ukierunkowane są na poprawę stanu środowiska na terenie gminy i miasta.</w:t>
      </w:r>
    </w:p>
    <w:p w14:paraId="1A14D916" w14:textId="77777777" w:rsidR="003C2C9F" w:rsidRDefault="00000000">
      <w:pPr>
        <w:pStyle w:val="Teksttreci0"/>
        <w:numPr>
          <w:ilvl w:val="0"/>
          <w:numId w:val="5"/>
        </w:numPr>
        <w:tabs>
          <w:tab w:val="left" w:pos="980"/>
        </w:tabs>
        <w:ind w:firstLine="620"/>
        <w:jc w:val="both"/>
      </w:pPr>
      <w:r>
        <w:rPr>
          <w:b/>
          <w:bCs/>
        </w:rPr>
        <w:t>cechy obszaru objętego oddziaływaniem na środowisko</w:t>
      </w:r>
    </w:p>
    <w:p w14:paraId="2CD8D18C" w14:textId="77777777" w:rsidR="003C2C9F" w:rsidRDefault="00000000">
      <w:pPr>
        <w:pStyle w:val="Teksttreci0"/>
        <w:numPr>
          <w:ilvl w:val="0"/>
          <w:numId w:val="7"/>
        </w:numPr>
        <w:tabs>
          <w:tab w:val="left" w:pos="1360"/>
        </w:tabs>
        <w:ind w:left="1340" w:hanging="340"/>
        <w:jc w:val="both"/>
      </w:pPr>
      <w:r>
        <w:rPr>
          <w:b/>
          <w:bCs/>
        </w:rPr>
        <w:t>obszary o szczególnych właściwościach naturalnych lub posiadające znaczenie dla dziedzictwa kulturowego, wrażliwe na oddziaływania, istniejące przekroczenia standardów jakości środowiska lub intensywne wykorzystanie terenu</w:t>
      </w:r>
    </w:p>
    <w:p w14:paraId="14EBB650" w14:textId="77777777" w:rsidR="003C2C9F" w:rsidRDefault="00000000">
      <w:pPr>
        <w:pStyle w:val="Teksttreci0"/>
        <w:ind w:left="620"/>
        <w:jc w:val="both"/>
      </w:pPr>
      <w:r>
        <w:t>Realizacja inwestycji ani etap eksploatacji powstałej w wyniku planowanych zadań infrastruktury nie wpłynie negatywnie na obszary chronione.</w:t>
      </w:r>
    </w:p>
    <w:p w14:paraId="31BDD55C" w14:textId="77777777" w:rsidR="003C2C9F" w:rsidRDefault="00000000">
      <w:pPr>
        <w:pStyle w:val="Teksttreci0"/>
        <w:ind w:left="620"/>
        <w:jc w:val="both"/>
      </w:pPr>
      <w:r>
        <w:t>W celu uniknięcia nieumyślnego niszczenia siedlisk gatunków przed przystąpieniem do realizacji zadań należy dokonać obserwacji pod kątem występowania gatunków chronionych. Należy unikać prowadzenia prac w okresie lęgowym oraz rozrodczym zwierząt. Powinno się również umożliwić ptakom gniazdowanie, np. poprzez powieszenie budek lęgowych lub pozostawienie/stworzenie miejsc korzystnych do zakładania gniazd. Należy również dołożyć wszelkiej staranności, aby w trakcie prac budowlanych zapobiegać niekontrolowanemu zmniejszaniu populacji zwierząt żyjących na danym terenie.</w:t>
      </w:r>
    </w:p>
    <w:p w14:paraId="5AAEEA09" w14:textId="77777777" w:rsidR="003C2C9F" w:rsidRDefault="00000000">
      <w:pPr>
        <w:pStyle w:val="Teksttreci0"/>
        <w:ind w:left="660"/>
        <w:jc w:val="both"/>
      </w:pPr>
      <w:r>
        <w:t xml:space="preserve">Realizacja zadań z zakresu infrastruktury liniowej powinna zostać poprzedzona odpowiednią organizacją. Wykorzystywanie sprzętu spełniającego odpowiednie normy i prowadzenia prac zgodnie z przepisami, przyczyni się do zmniejszenia emisji szkodliwych substancji. Kompensacja przyrodnicza w przypadku realizacji inwestycji drogowych związana jest z prowadzeniem </w:t>
      </w:r>
      <w:proofErr w:type="spellStart"/>
      <w:r>
        <w:t>nasadzeń</w:t>
      </w:r>
      <w:proofErr w:type="spellEnd"/>
      <w:r>
        <w:t xml:space="preserve"> zieleni wzdłuż ciągów komunikacyjnych. W celu minimalizacji ewentualnego negatywnego oddziaływania wycinki drzew na ptaki, ich przeprowadzenie powinna być zaplanowane poza sezonem lęgowym.</w:t>
      </w:r>
    </w:p>
    <w:p w14:paraId="03553D48" w14:textId="77777777" w:rsidR="003C2C9F" w:rsidRDefault="00000000">
      <w:pPr>
        <w:pStyle w:val="Teksttreci0"/>
        <w:ind w:left="660"/>
        <w:jc w:val="both"/>
      </w:pPr>
      <w:r>
        <w:t xml:space="preserve">Inwestycje zostaną zaplanowane ze szczególnym uwzględnieniem i troską o występujące wartościowe obiekty i tereny. W przypadku zaistnienia takiej konieczności, podjęte zostaną działania mające na celu kompensację </w:t>
      </w:r>
      <w:r>
        <w:lastRenderedPageBreak/>
        <w:t>powstałych szkód poprzez podejmowanie równoważących je działań, prowadzące do przywrócenia równowagi przyrodniczej na danym terenie, wyrównania szkód dokonanych w środowisku przez realizację przedsięwzięcia oraz do zachowania walorów krajobrazowych (np. sadzenie drzew, objęcie opieką stanowisk zagrożonych gatunków roślin i zwierząt, budowa schronień dla ptaków).</w:t>
      </w:r>
    </w:p>
    <w:p w14:paraId="781C96BE" w14:textId="77777777" w:rsidR="003C2C9F" w:rsidRDefault="00000000">
      <w:pPr>
        <w:pStyle w:val="Teksttreci0"/>
        <w:ind w:left="660"/>
        <w:jc w:val="both"/>
      </w:pPr>
      <w:r>
        <w:t>W przypadku zadań realizowanych na obszarach posiadających znaczenie dla dziedzictwa kulturowego, obowiązek uzgadniania wszelkich prac inwestycyjnych ze służbami Wojewódzkiego Konserwatora Zabytków eliminuje wystąpienie negatywnego wpływu zadań na zachowanie dziedzictwa kulturowego.</w:t>
      </w:r>
    </w:p>
    <w:p w14:paraId="7BD001F1" w14:textId="77777777" w:rsidR="003C2C9F" w:rsidRDefault="00000000">
      <w:pPr>
        <w:pStyle w:val="Teksttreci0"/>
        <w:numPr>
          <w:ilvl w:val="0"/>
          <w:numId w:val="7"/>
        </w:numPr>
        <w:tabs>
          <w:tab w:val="left" w:pos="1388"/>
        </w:tabs>
        <w:ind w:left="1420" w:hanging="400"/>
        <w:jc w:val="both"/>
      </w:pPr>
      <w:r>
        <w:rPr>
          <w:b/>
          <w:bCs/>
        </w:rPr>
        <w:t>formy ochrony przyrody w rozumieniu ustawy z dnia 16 kwietnia 2004 r. o ochronie przyrody oraz obszary podlegające ochronie zgodnie z prawem międzynarodowym</w:t>
      </w:r>
    </w:p>
    <w:p w14:paraId="75E76253" w14:textId="77777777" w:rsidR="003C2C9F" w:rsidRDefault="00000000">
      <w:pPr>
        <w:pStyle w:val="Teksttreci0"/>
        <w:ind w:left="660"/>
        <w:jc w:val="both"/>
      </w:pPr>
      <w:r>
        <w:t>Zgodnie z Centralnym Rejestrem Form Ochrony Przyrody na obszarze gminy i miasta Węgliniec znajdują się:</w:t>
      </w:r>
    </w:p>
    <w:p w14:paraId="48B3FA05" w14:textId="77777777" w:rsidR="003C2C9F" w:rsidRDefault="00000000">
      <w:pPr>
        <w:pStyle w:val="Teksttreci0"/>
        <w:numPr>
          <w:ilvl w:val="0"/>
          <w:numId w:val="8"/>
        </w:numPr>
        <w:tabs>
          <w:tab w:val="left" w:pos="1388"/>
        </w:tabs>
        <w:spacing w:after="0"/>
        <w:ind w:firstLine="1000"/>
        <w:jc w:val="both"/>
      </w:pPr>
      <w:r>
        <w:t>rezerwat przyrody Torfowisko pod Węglińcem,</w:t>
      </w:r>
    </w:p>
    <w:p w14:paraId="3B8B7300" w14:textId="77777777" w:rsidR="003C2C9F" w:rsidRDefault="00000000">
      <w:pPr>
        <w:pStyle w:val="Teksttreci0"/>
        <w:numPr>
          <w:ilvl w:val="0"/>
          <w:numId w:val="8"/>
        </w:numPr>
        <w:tabs>
          <w:tab w:val="left" w:pos="1388"/>
        </w:tabs>
        <w:spacing w:after="0"/>
        <w:ind w:firstLine="1000"/>
        <w:jc w:val="both"/>
      </w:pPr>
      <w:r>
        <w:t>rezerwat przyrody Wrzosiec koło Piasecznej,</w:t>
      </w:r>
    </w:p>
    <w:p w14:paraId="6FC79107" w14:textId="77777777" w:rsidR="003C2C9F" w:rsidRDefault="00000000">
      <w:pPr>
        <w:pStyle w:val="Teksttreci0"/>
        <w:numPr>
          <w:ilvl w:val="0"/>
          <w:numId w:val="8"/>
        </w:numPr>
        <w:tabs>
          <w:tab w:val="left" w:pos="1388"/>
        </w:tabs>
        <w:spacing w:after="0"/>
        <w:ind w:firstLine="1000"/>
        <w:jc w:val="both"/>
      </w:pPr>
      <w:r>
        <w:t xml:space="preserve">Obszar Natura 2000 </w:t>
      </w:r>
      <w:proofErr w:type="spellStart"/>
      <w:r>
        <w:t>Przygiełkowiska</w:t>
      </w:r>
      <w:proofErr w:type="spellEnd"/>
      <w:r>
        <w:t xml:space="preserve"> Koło Gozdnicy,</w:t>
      </w:r>
    </w:p>
    <w:p w14:paraId="5613A510" w14:textId="77777777" w:rsidR="003C2C9F" w:rsidRDefault="00000000">
      <w:pPr>
        <w:pStyle w:val="Teksttreci0"/>
        <w:numPr>
          <w:ilvl w:val="0"/>
          <w:numId w:val="8"/>
        </w:numPr>
        <w:tabs>
          <w:tab w:val="left" w:pos="1388"/>
        </w:tabs>
        <w:spacing w:after="0"/>
        <w:ind w:firstLine="1000"/>
        <w:jc w:val="both"/>
      </w:pPr>
      <w:r>
        <w:t>Obszar Natura 2000 Pieńska Dolina Nysy Łużyckiej,</w:t>
      </w:r>
    </w:p>
    <w:p w14:paraId="4AB049D4" w14:textId="77777777" w:rsidR="003C2C9F" w:rsidRDefault="00000000">
      <w:pPr>
        <w:pStyle w:val="Teksttreci0"/>
        <w:numPr>
          <w:ilvl w:val="0"/>
          <w:numId w:val="8"/>
        </w:numPr>
        <w:tabs>
          <w:tab w:val="left" w:pos="1388"/>
        </w:tabs>
        <w:spacing w:after="0"/>
        <w:ind w:firstLine="1000"/>
        <w:jc w:val="both"/>
      </w:pPr>
      <w:r>
        <w:t>Obszar Natura 2000 Wilki nad Nysą,</w:t>
      </w:r>
    </w:p>
    <w:p w14:paraId="680D1CE2" w14:textId="77777777" w:rsidR="003C2C9F" w:rsidRDefault="00000000">
      <w:pPr>
        <w:pStyle w:val="Teksttreci0"/>
        <w:numPr>
          <w:ilvl w:val="0"/>
          <w:numId w:val="8"/>
        </w:numPr>
        <w:tabs>
          <w:tab w:val="left" w:pos="1388"/>
        </w:tabs>
        <w:spacing w:after="0"/>
        <w:ind w:firstLine="1000"/>
        <w:jc w:val="both"/>
      </w:pPr>
      <w:r>
        <w:t>Obszar Natura 2000 Uroczyska Borów Dolnośląskich,</w:t>
      </w:r>
    </w:p>
    <w:p w14:paraId="5A1A0642" w14:textId="77777777" w:rsidR="003C2C9F" w:rsidRDefault="00000000">
      <w:pPr>
        <w:pStyle w:val="Teksttreci0"/>
        <w:numPr>
          <w:ilvl w:val="0"/>
          <w:numId w:val="8"/>
        </w:numPr>
        <w:tabs>
          <w:tab w:val="left" w:pos="1388"/>
        </w:tabs>
        <w:spacing w:after="0"/>
        <w:ind w:firstLine="1000"/>
        <w:jc w:val="both"/>
      </w:pPr>
      <w:r>
        <w:t>Obszar Natura 2000 Bory Dolnośląskie,</w:t>
      </w:r>
    </w:p>
    <w:p w14:paraId="336EEAFE" w14:textId="77777777" w:rsidR="003C2C9F" w:rsidRDefault="00000000">
      <w:pPr>
        <w:pStyle w:val="Teksttreci0"/>
        <w:numPr>
          <w:ilvl w:val="0"/>
          <w:numId w:val="8"/>
        </w:numPr>
        <w:tabs>
          <w:tab w:val="left" w:pos="1388"/>
        </w:tabs>
        <w:ind w:firstLine="1000"/>
        <w:jc w:val="both"/>
      </w:pPr>
      <w:r>
        <w:t>pomniki przyrody.</w:t>
      </w:r>
    </w:p>
    <w:p w14:paraId="4139E405" w14:textId="77777777" w:rsidR="003C2C9F" w:rsidRDefault="00000000">
      <w:pPr>
        <w:pStyle w:val="Teksttreci0"/>
        <w:spacing w:after="1220"/>
        <w:ind w:left="640" w:firstLine="60"/>
        <w:jc w:val="both"/>
      </w:pPr>
      <w:r>
        <w:t>Realizacja planowanych zadań nie spowoduje znaczącego negatywnego oddziaływania na wskazane formy ochrony przyrody.</w:t>
      </w:r>
    </w:p>
    <w:p w14:paraId="048EAC75" w14:textId="78F080FF" w:rsidR="003C2C9F" w:rsidRDefault="003C2C9F">
      <w:pPr>
        <w:pStyle w:val="Nagwek20"/>
        <w:keepNext/>
        <w:keepLines/>
        <w:spacing w:line="240" w:lineRule="auto"/>
        <w:ind w:left="0" w:right="1160" w:firstLine="0"/>
        <w:jc w:val="right"/>
      </w:pPr>
    </w:p>
    <w:sectPr w:rsidR="003C2C9F">
      <w:pgSz w:w="11900" w:h="16840"/>
      <w:pgMar w:top="1315" w:right="1289" w:bottom="1443" w:left="78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3A0D7" w14:textId="77777777" w:rsidR="00FD3467" w:rsidRDefault="00FD3467">
      <w:r>
        <w:separator/>
      </w:r>
    </w:p>
  </w:endnote>
  <w:endnote w:type="continuationSeparator" w:id="0">
    <w:p w14:paraId="37D63CE6" w14:textId="77777777" w:rsidR="00FD3467" w:rsidRDefault="00FD3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9B409" w14:textId="77777777" w:rsidR="00FD3467" w:rsidRDefault="00FD3467"/>
  </w:footnote>
  <w:footnote w:type="continuationSeparator" w:id="0">
    <w:p w14:paraId="36122533" w14:textId="77777777" w:rsidR="00FD3467" w:rsidRDefault="00FD346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97340"/>
    <w:multiLevelType w:val="multilevel"/>
    <w:tmpl w:val="74DE01E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6194CE2"/>
    <w:multiLevelType w:val="multilevel"/>
    <w:tmpl w:val="8E5CC17C"/>
    <w:lvl w:ilvl="0">
      <w:start w:val="2"/>
      <w:numFmt w:val="decimal"/>
      <w:lvlText w:val="%1)"/>
      <w:lvlJc w:val="left"/>
      <w:rPr>
        <w:rFonts w:ascii="Arial" w:eastAsia="Arial" w:hAnsi="Arial" w:cs="Arial"/>
        <w:b/>
        <w:bCs/>
        <w:i w:val="0"/>
        <w:iCs w:val="0"/>
        <w:smallCaps w:val="0"/>
        <w:strike w:val="0"/>
        <w:color w:val="000000"/>
        <w:spacing w:val="0"/>
        <w:w w:val="100"/>
        <w:position w:val="0"/>
        <w:sz w:val="19"/>
        <w:szCs w:val="19"/>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5066952"/>
    <w:multiLevelType w:val="multilevel"/>
    <w:tmpl w:val="7DA0D814"/>
    <w:lvl w:ilvl="0">
      <w:start w:val="1"/>
      <w:numFmt w:val="lowerLetter"/>
      <w:lvlText w:val="%1)"/>
      <w:lvlJc w:val="left"/>
      <w:rPr>
        <w:rFonts w:ascii="Arial" w:eastAsia="Arial" w:hAnsi="Arial" w:cs="Arial"/>
        <w:b/>
        <w:bCs/>
        <w:i w:val="0"/>
        <w:iCs w:val="0"/>
        <w:smallCaps w:val="0"/>
        <w:strike w:val="0"/>
        <w:color w:val="000000"/>
        <w:spacing w:val="0"/>
        <w:w w:val="100"/>
        <w:position w:val="0"/>
        <w:sz w:val="19"/>
        <w:szCs w:val="19"/>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80D1A16"/>
    <w:multiLevelType w:val="multilevel"/>
    <w:tmpl w:val="C3CAC096"/>
    <w:lvl w:ilvl="0">
      <w:start w:val="1"/>
      <w:numFmt w:val="lowerLetter"/>
      <w:lvlText w:val="%1)"/>
      <w:lvlJc w:val="left"/>
      <w:rPr>
        <w:rFonts w:ascii="Arial" w:eastAsia="Arial" w:hAnsi="Arial" w:cs="Arial"/>
        <w:b/>
        <w:bCs/>
        <w:i w:val="0"/>
        <w:iCs w:val="0"/>
        <w:smallCaps w:val="0"/>
        <w:strike w:val="0"/>
        <w:color w:val="000000"/>
        <w:spacing w:val="0"/>
        <w:w w:val="100"/>
        <w:position w:val="0"/>
        <w:sz w:val="19"/>
        <w:szCs w:val="19"/>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B0B371E"/>
    <w:multiLevelType w:val="multilevel"/>
    <w:tmpl w:val="54B29BF0"/>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B3347F5"/>
    <w:multiLevelType w:val="multilevel"/>
    <w:tmpl w:val="790E7C18"/>
    <w:lvl w:ilvl="0">
      <w:start w:val="1"/>
      <w:numFmt w:val="decimal"/>
      <w:lvlText w:val="%1)"/>
      <w:lvlJc w:val="left"/>
      <w:rPr>
        <w:rFonts w:ascii="Arial" w:eastAsia="Arial" w:hAnsi="Arial" w:cs="Arial"/>
        <w:b/>
        <w:bCs/>
        <w:i w:val="0"/>
        <w:iCs w:val="0"/>
        <w:smallCaps w:val="0"/>
        <w:strike w:val="0"/>
        <w:color w:val="000000"/>
        <w:spacing w:val="0"/>
        <w:w w:val="100"/>
        <w:position w:val="0"/>
        <w:sz w:val="19"/>
        <w:szCs w:val="19"/>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F794B33"/>
    <w:multiLevelType w:val="multilevel"/>
    <w:tmpl w:val="69181E3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4C60F14"/>
    <w:multiLevelType w:val="multilevel"/>
    <w:tmpl w:val="697E7990"/>
    <w:lvl w:ilvl="0">
      <w:start w:val="2"/>
      <w:numFmt w:val="lowerLetter"/>
      <w:lvlText w:val="%1)"/>
      <w:lvlJc w:val="left"/>
      <w:rPr>
        <w:rFonts w:ascii="Arial" w:eastAsia="Arial" w:hAnsi="Arial" w:cs="Arial"/>
        <w:b/>
        <w:bCs/>
        <w:i w:val="0"/>
        <w:iCs w:val="0"/>
        <w:smallCaps w:val="0"/>
        <w:strike w:val="0"/>
        <w:color w:val="000000"/>
        <w:spacing w:val="0"/>
        <w:w w:val="100"/>
        <w:position w:val="0"/>
        <w:sz w:val="19"/>
        <w:szCs w:val="19"/>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51395386">
    <w:abstractNumId w:val="5"/>
  </w:num>
  <w:num w:numId="2" w16cid:durableId="1751079928">
    <w:abstractNumId w:val="0"/>
  </w:num>
  <w:num w:numId="3" w16cid:durableId="2006782261">
    <w:abstractNumId w:val="7"/>
  </w:num>
  <w:num w:numId="4" w16cid:durableId="1886335646">
    <w:abstractNumId w:val="4"/>
  </w:num>
  <w:num w:numId="5" w16cid:durableId="1458448207">
    <w:abstractNumId w:val="1"/>
  </w:num>
  <w:num w:numId="6" w16cid:durableId="985738053">
    <w:abstractNumId w:val="2"/>
  </w:num>
  <w:num w:numId="7" w16cid:durableId="27294114">
    <w:abstractNumId w:val="3"/>
  </w:num>
  <w:num w:numId="8" w16cid:durableId="10933564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C9F"/>
    <w:rsid w:val="003C2C9F"/>
    <w:rsid w:val="007C69BD"/>
    <w:rsid w:val="00FD34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BC685"/>
  <w15:docId w15:val="{CC11A1E8-A090-4706-91FF-5317A22A3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
    <w:name w:val="Nagłówek #1_"/>
    <w:basedOn w:val="Domylnaczcionkaakapitu"/>
    <w:link w:val="Nagwek10"/>
    <w:rPr>
      <w:rFonts w:ascii="Times New Roman" w:eastAsia="Times New Roman" w:hAnsi="Times New Roman" w:cs="Times New Roman"/>
      <w:b w:val="0"/>
      <w:bCs w:val="0"/>
      <w:i w:val="0"/>
      <w:iCs w:val="0"/>
      <w:smallCaps w:val="0"/>
      <w:strike w:val="0"/>
      <w:color w:val="F2788C"/>
      <w:sz w:val="26"/>
      <w:szCs w:val="26"/>
      <w:u w:val="none"/>
    </w:rPr>
  </w:style>
  <w:style w:type="character" w:customStyle="1" w:styleId="Teksttreci">
    <w:name w:val="Tekst treści_"/>
    <w:basedOn w:val="Domylnaczcionkaakapitu"/>
    <w:link w:val="Teksttreci0"/>
    <w:rPr>
      <w:rFonts w:ascii="Arial" w:eastAsia="Arial" w:hAnsi="Arial" w:cs="Arial"/>
      <w:b w:val="0"/>
      <w:bCs w:val="0"/>
      <w:i w:val="0"/>
      <w:iCs w:val="0"/>
      <w:smallCaps w:val="0"/>
      <w:strike w:val="0"/>
      <w:sz w:val="19"/>
      <w:szCs w:val="19"/>
      <w:u w:val="none"/>
    </w:rPr>
  </w:style>
  <w:style w:type="character" w:customStyle="1" w:styleId="Nagwek2">
    <w:name w:val="Nagłówek #2_"/>
    <w:basedOn w:val="Domylnaczcionkaakapitu"/>
    <w:link w:val="Nagwek20"/>
    <w:rPr>
      <w:rFonts w:ascii="Times New Roman" w:eastAsia="Times New Roman" w:hAnsi="Times New Roman" w:cs="Times New Roman"/>
      <w:b w:val="0"/>
      <w:bCs w:val="0"/>
      <w:i w:val="0"/>
      <w:iCs w:val="0"/>
      <w:smallCaps w:val="0"/>
      <w:strike w:val="0"/>
      <w:color w:val="BD92BB"/>
      <w:sz w:val="22"/>
      <w:szCs w:val="22"/>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color w:val="8E78B2"/>
      <w:sz w:val="20"/>
      <w:szCs w:val="20"/>
      <w:u w:val="none"/>
    </w:rPr>
  </w:style>
  <w:style w:type="paragraph" w:customStyle="1" w:styleId="Nagwek10">
    <w:name w:val="Nagłówek #1"/>
    <w:basedOn w:val="Normalny"/>
    <w:link w:val="Nagwek1"/>
    <w:pPr>
      <w:spacing w:after="300" w:line="223" w:lineRule="auto"/>
      <w:ind w:firstLine="260"/>
      <w:outlineLvl w:val="0"/>
    </w:pPr>
    <w:rPr>
      <w:rFonts w:ascii="Times New Roman" w:eastAsia="Times New Roman" w:hAnsi="Times New Roman" w:cs="Times New Roman"/>
      <w:color w:val="F2788C"/>
      <w:sz w:val="26"/>
      <w:szCs w:val="26"/>
    </w:rPr>
  </w:style>
  <w:style w:type="paragraph" w:customStyle="1" w:styleId="Teksttreci0">
    <w:name w:val="Tekst treści"/>
    <w:basedOn w:val="Normalny"/>
    <w:link w:val="Teksttreci"/>
    <w:pPr>
      <w:spacing w:after="100" w:line="252" w:lineRule="auto"/>
      <w:ind w:firstLine="40"/>
    </w:pPr>
    <w:rPr>
      <w:rFonts w:ascii="Arial" w:eastAsia="Arial" w:hAnsi="Arial" w:cs="Arial"/>
      <w:sz w:val="19"/>
      <w:szCs w:val="19"/>
    </w:rPr>
  </w:style>
  <w:style w:type="paragraph" w:customStyle="1" w:styleId="Nagwek20">
    <w:name w:val="Nagłówek #2"/>
    <w:basedOn w:val="Normalny"/>
    <w:link w:val="Nagwek2"/>
    <w:pPr>
      <w:spacing w:after="100" w:line="276" w:lineRule="auto"/>
      <w:ind w:left="7300" w:firstLine="400"/>
      <w:outlineLvl w:val="1"/>
    </w:pPr>
    <w:rPr>
      <w:rFonts w:ascii="Times New Roman" w:eastAsia="Times New Roman" w:hAnsi="Times New Roman" w:cs="Times New Roman"/>
      <w:color w:val="BD92BB"/>
      <w:sz w:val="22"/>
      <w:szCs w:val="22"/>
    </w:rPr>
  </w:style>
  <w:style w:type="paragraph" w:customStyle="1" w:styleId="Teksttreci20">
    <w:name w:val="Tekst treści (2)"/>
    <w:basedOn w:val="Normalny"/>
    <w:link w:val="Teksttreci2"/>
    <w:pPr>
      <w:spacing w:after="100" w:line="202" w:lineRule="auto"/>
      <w:jc w:val="center"/>
    </w:pPr>
    <w:rPr>
      <w:rFonts w:ascii="Times New Roman" w:eastAsia="Times New Roman" w:hAnsi="Times New Roman" w:cs="Times New Roman"/>
      <w:color w:val="8E78B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2571</Words>
  <Characters>15432</Characters>
  <Application>Microsoft Office Word</Application>
  <DocSecurity>0</DocSecurity>
  <Lines>128</Lines>
  <Paragraphs>35</Paragraphs>
  <ScaleCrop>false</ScaleCrop>
  <Company/>
  <LinksUpToDate>false</LinksUpToDate>
  <CharactersWithSpaces>17968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2024-01-03T13:06:00Z</dcterms:created>
  <dcterms:modified xsi:type="dcterms:W3CDTF">2024-01-03T13:11:00Z</dcterms:modified>
</cp:coreProperties>
</file>