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16 maja 2024 r.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</w:t>
        <w:br/>
        <w:t>REWIZYJNEJ.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wykonania budżetu Gminy Węgliniec na podstawie;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pos="749" w:val="left"/>
        </w:tabs>
        <w:bidi w:val="0"/>
        <w:spacing w:before="0" w:after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opinii Regionalnej Izby Obrachunkowej,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pos="749" w:val="left"/>
        </w:tabs>
        <w:bidi w:val="0"/>
        <w:spacing w:before="0" w:after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sprawozdania z wykonania budżetu Gminy Węgliniec za 2023 rok,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9" w:val="left"/>
        </w:tabs>
        <w:bidi w:val="0"/>
        <w:spacing w:before="0" w:after="10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informacji o stanie mienia komunalnego.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17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Wypracowanie przez Komisję Rewizyjną wniosku dot. absolutorium dla Burmistrza.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REWIZYJNEJ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6320" w:right="0" w:firstLine="0"/>
        <w:jc w:val="left"/>
      </w:pP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ANDRZEJ FINK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1266" w:bottom="1417" w:left="82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