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2208" w:h="936" w:wrap="none" w:hAnchor="page" w:x="900" w:y="1"/>
        <w:widowControl w:val="0"/>
        <w:shd w:val="clear" w:color="auto" w:fill="auto"/>
        <w:bidi w:val="0"/>
        <w:spacing w:after="0" w:line="218" w:lineRule="auto"/>
        <w:ind w:left="0" w:right="0" w:firstLine="0"/>
        <w:jc w:val="center"/>
        <w:rPr>
          <w:sz w:val="26"/>
          <w:szCs w:val="26"/>
        </w:rPr>
      </w:pPr>
      <w:r>
        <w:rPr>
          <w:rStyle w:val="CharStyle3"/>
          <w:color w:val="F68DA5"/>
          <w:sz w:val="26"/>
          <w:szCs w:val="26"/>
        </w:rPr>
        <w:t>BURMISTRŻ</w:t>
        <w:br/>
        <w:t>Gminy i Miasta</w:t>
        <w:br/>
        <w:t>Węgliniec</w:t>
      </w:r>
    </w:p>
    <w:p>
      <w:pPr>
        <w:widowControl w:val="0"/>
        <w:spacing w:line="360" w:lineRule="exact"/>
      </w:pPr>
    </w:p>
    <w:p>
      <w:pPr>
        <w:widowControl w:val="0"/>
        <w:spacing w:after="57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404" w:right="1297" w:bottom="504" w:left="899" w:header="0" w:footer="76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700" w:right="0" w:firstLine="0"/>
        <w:jc w:val="left"/>
      </w:pPr>
      <w:r>
        <w:rPr>
          <w:rStyle w:val="CharStyle3"/>
          <w:b/>
          <w:bCs/>
        </w:rPr>
        <w:t>Zarządzenie nr 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center"/>
      </w:pPr>
      <w:r>
        <w:rPr>
          <w:rStyle w:val="CharStyle3"/>
          <w:b/>
          <w:bCs/>
        </w:rPr>
        <w:t>Burmistrza Gminy i Miasta Węgliniec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8"/>
          <w:b/>
          <w:bCs/>
        </w:rPr>
        <w:t>w sprawie zasad rozliczania ulepszeń dokonywanych przez najemców w lokalach komunalnych.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80"/>
        <w:jc w:val="both"/>
      </w:pPr>
      <w:r>
        <w:rPr>
          <w:rStyle w:val="CharStyle8"/>
        </w:rPr>
        <w:t>Na podstawie art. 6d ustawy z dnia 21 czerwca 200Ir. o ochronie praw lokatorów, mieszkaniowym zasobie gminy i zmianie kodeksu cywilnego (Dz. U. z 2023r., poz. 725) Burmistrz Gminy i Miasta w Węglińcu zarządza, co następuje: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8"/>
          <w:b/>
          <w:bCs/>
        </w:rPr>
        <w:t>§1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6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</w:rPr>
        <w:t>Najemca może wprowadzić w lokalu ulepszenia we własnym zakresie tylko za zgodą wynajmującego. Formą akceptacji jest pisemna umowa określająca sposób rozliczeń z tego tytułu.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6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</w:rPr>
        <w:t>Procedura związana ze zwrotem kosztów za remont wykonany we własnym zakresie obejmuje: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24" w:val="left"/>
        </w:tabs>
        <w:bidi w:val="0"/>
        <w:spacing w:before="0" w:after="0" w:line="240" w:lineRule="auto"/>
        <w:ind w:left="0" w:right="0" w:firstLine="380"/>
        <w:jc w:val="both"/>
      </w:pPr>
      <w:r>
        <w:rPr>
          <w:rStyle w:val="CharStyle8"/>
        </w:rPr>
        <w:t>złożenie przez najemcę podania o wyrażenie zgody na dokonanie ulepszeń,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43" w:val="left"/>
        </w:tabs>
        <w:bidi w:val="0"/>
        <w:spacing w:before="0" w:after="0" w:line="240" w:lineRule="auto"/>
        <w:ind w:left="0" w:right="0" w:firstLine="380"/>
        <w:jc w:val="both"/>
      </w:pPr>
      <w:r>
        <w:rPr>
          <w:rStyle w:val="CharStyle8"/>
        </w:rPr>
        <w:t>sprawdzenie stanu lokalu przed dokonaniem ulepszenia,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58" w:val="left"/>
        </w:tabs>
        <w:bidi w:val="0"/>
        <w:spacing w:before="0" w:after="0" w:line="240" w:lineRule="auto"/>
        <w:ind w:left="720" w:right="0" w:hanging="320"/>
        <w:jc w:val="both"/>
      </w:pPr>
      <w:r>
        <w:rPr>
          <w:rStyle w:val="CharStyle8"/>
        </w:rPr>
        <w:t>akceptacja złożonego podania oraz zawarcie umowy obejmującej rodzaj ulepszenia i zakres prac,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43" w:val="left"/>
        </w:tabs>
        <w:bidi w:val="0"/>
        <w:spacing w:before="0" w:after="0" w:line="240" w:lineRule="auto"/>
        <w:ind w:left="0" w:right="0" w:firstLine="380"/>
        <w:jc w:val="both"/>
      </w:pPr>
      <w:r>
        <w:rPr>
          <w:rStyle w:val="CharStyle8"/>
        </w:rPr>
        <w:t>odbiór oraz sprawdzenie przeprowadzonych robót,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34" w:val="left"/>
        </w:tabs>
        <w:bidi w:val="0"/>
        <w:spacing w:before="0" w:after="0" w:line="240" w:lineRule="auto"/>
        <w:ind w:left="0" w:right="0" w:firstLine="380"/>
        <w:jc w:val="both"/>
      </w:pPr>
      <w:r>
        <w:rPr>
          <w:rStyle w:val="CharStyle8"/>
        </w:rPr>
        <w:t>sporządzenie z tych czynności notatki służbowej bądź protokołu.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63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rStyle w:val="CharStyle8"/>
        </w:rPr>
        <w:t>Warunkiem akceptacji złożonego podania o wyrażenie zgody na dokonanie ulepszeń we własnym zakresie jest brak zaległości w opłatach za wynajem lokalu komunalnego.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8"/>
          <w:b/>
          <w:bCs/>
        </w:rPr>
        <w:t>§2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</w:rPr>
        <w:t>Koszty ulepszenia mogą zostać rozliczone z należności za czynsz w poniższy sposób: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41" w:val="left"/>
        </w:tabs>
        <w:bidi w:val="0"/>
        <w:spacing w:before="0" w:after="0" w:line="240" w:lineRule="auto"/>
        <w:ind w:left="720" w:right="0" w:hanging="320"/>
        <w:jc w:val="both"/>
      </w:pPr>
      <w:r>
        <w:rPr>
          <w:rStyle w:val="CharStyle8"/>
        </w:rPr>
        <w:t>w kwocie do 75% wartości kwoty brutto nie większej niż 1000,00 zł za 1 m2 - za wymianę stolarki okiennej;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63" w:val="left"/>
        </w:tabs>
        <w:bidi w:val="0"/>
        <w:spacing w:before="0" w:after="0" w:line="240" w:lineRule="auto"/>
        <w:ind w:left="720" w:right="0" w:hanging="320"/>
        <w:jc w:val="both"/>
      </w:pPr>
      <w:r>
        <w:rPr>
          <w:rStyle w:val="CharStyle8"/>
        </w:rPr>
        <w:t>w kwocie do 75% wartości kwoty brutto nie większej niż 500,00 zł do 75% wartości kwoty brutto - za wymianę drzwi wewnątrzlokalowych;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63" w:val="left"/>
        </w:tabs>
        <w:bidi w:val="0"/>
        <w:spacing w:before="0" w:after="0" w:line="240" w:lineRule="auto"/>
        <w:ind w:left="720" w:right="0" w:hanging="320"/>
        <w:jc w:val="both"/>
      </w:pPr>
      <w:r>
        <w:rPr>
          <w:rStyle w:val="CharStyle8"/>
        </w:rPr>
        <w:t>w kwocie do 75% wartości kwoty brutto nie większej niż 7.000,00 zł - za remont łazienki;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63" w:val="left"/>
        </w:tabs>
        <w:bidi w:val="0"/>
        <w:spacing w:before="0" w:after="0" w:line="240" w:lineRule="auto"/>
        <w:ind w:left="720" w:right="0" w:hanging="320"/>
        <w:jc w:val="both"/>
      </w:pPr>
      <w:r>
        <w:rPr>
          <w:rStyle w:val="CharStyle8"/>
        </w:rPr>
        <w:t>pozostałe prace nie wymienione wyżej będą rozpatrywane indywidualnie z możliwością zwrotu w kwocie nie większej niż 75% wartości kwoty brutto.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58" w:val="left"/>
        </w:tabs>
        <w:bidi w:val="0"/>
        <w:spacing w:before="0" w:after="0" w:line="240" w:lineRule="auto"/>
        <w:ind w:left="720" w:right="0" w:hanging="320"/>
        <w:jc w:val="both"/>
      </w:pPr>
      <w:r>
        <w:rPr>
          <w:rStyle w:val="CharStyle8"/>
        </w:rPr>
        <w:t>wartość poniesionych przez najemcę nakładów ustala się w oparciu o przedłożone faktury (w oryginale).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58" w:val="left"/>
        </w:tabs>
        <w:bidi w:val="0"/>
        <w:spacing w:before="0" w:after="280" w:line="240" w:lineRule="auto"/>
        <w:ind w:left="720" w:right="0" w:hanging="320"/>
        <w:jc w:val="both"/>
      </w:pPr>
      <w:r>
        <w:rPr>
          <w:rStyle w:val="CharStyle8"/>
        </w:rPr>
        <w:t>Rozliczenie nakładów dokonuje się poprzez zwolnienie z czynszu najmu do czasu pokrycia uzgodnionej wartości poniesionych nakładów.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8"/>
          <w:b/>
          <w:bCs/>
        </w:rPr>
        <w:t>§3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</w:rPr>
        <w:t>W przypadku rozwiązania umowy przez najemcę nie przysługuje mu roszczenie o zwrot nierozliczonych nakładów.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8"/>
          <w:b/>
          <w:bCs/>
        </w:rPr>
        <w:t>§4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both"/>
      </w:pPr>
      <w:r>
        <w:rPr>
          <w:rStyle w:val="CharStyle8"/>
        </w:rPr>
        <w:t>Zarządzenie wchodzi w życie z dniem podpisania.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1500" w:firstLine="0"/>
        <w:jc w:val="right"/>
      </w:pPr>
      <w:r>
        <w:rPr>
          <w:rStyle w:val="CharStyle11"/>
        </w:rPr>
        <w:t>Burmistrz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drawing>
          <wp:anchor distT="170815" distB="0" distL="114300" distR="510540" simplePos="0" relativeHeight="125829378" behindDoc="0" locked="0" layoutInCell="1" allowOverlap="1">
            <wp:simplePos x="0" y="0"/>
            <wp:positionH relativeFrom="page">
              <wp:posOffset>823595</wp:posOffset>
            </wp:positionH>
            <wp:positionV relativeFrom="paragraph">
              <wp:posOffset>297815</wp:posOffset>
            </wp:positionV>
            <wp:extent cx="762000" cy="51816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6200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887730</wp:posOffset>
                </wp:positionH>
                <wp:positionV relativeFrom="paragraph">
                  <wp:posOffset>127000</wp:posOffset>
                </wp:positionV>
                <wp:extent cx="1094105" cy="161290"/>
                <wp:wrapNone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4105" cy="161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Sporz. Beata Bogacz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9.900000000000006pt;margin-top:10.pt;width:86.150000000000006pt;height:12.7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Sporz. Beata Bogacz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1"/>
          <w:sz w:val="18"/>
          <w:szCs w:val="18"/>
        </w:rPr>
        <w:t xml:space="preserve">Gminy </w:t>
      </w:r>
      <w:r>
        <w:rPr>
          <w:rStyle w:val="CharStyle11"/>
          <w:color w:val="625F9C"/>
        </w:rPr>
        <w:t xml:space="preserve">i </w:t>
      </w:r>
      <w:r>
        <w:rPr>
          <w:rStyle w:val="CharStyle11"/>
        </w:rPr>
        <w:t>Węgliniec</w:t>
        <w:br/>
      </w:r>
      <w:r>
        <w:rPr>
          <w:rStyle w:val="CharStyle11"/>
          <w:sz w:val="18"/>
          <w:szCs w:val="18"/>
        </w:rPr>
        <w:t xml:space="preserve">Marii </w:t>
      </w:r>
      <w:r>
        <w:rPr>
          <w:rStyle w:val="CharStyle11"/>
          <w:color w:val="B579A2"/>
          <w:sz w:val="18"/>
          <w:szCs w:val="18"/>
        </w:rPr>
        <w:t>^wieczorek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404" w:right="1296" w:bottom="404" w:left="1393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customStyle="1" w:styleId="CharStyle3">
    <w:name w:val="Tekst treści (2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6">
    <w:name w:val="Podpis obrazu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8">
    <w:name w:val="Tekst treści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1">
    <w:name w:val="Tekst treści (3)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color w:val="F68DA5"/>
      <w:sz w:val="18"/>
      <w:szCs w:val="18"/>
      <w:u w:val="none"/>
    </w:rPr>
  </w:style>
  <w:style w:type="paragraph" w:customStyle="1" w:styleId="Style2">
    <w:name w:val="Tekst treści (2)"/>
    <w:basedOn w:val="Normal"/>
    <w:link w:val="CharStyle3"/>
    <w:pPr>
      <w:widowControl w:val="0"/>
      <w:shd w:val="clear" w:color="auto" w:fill="auto"/>
      <w:spacing w:before="80" w:line="228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5">
    <w:name w:val="Podpis obrazu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7">
    <w:name w:val="Tekst treści"/>
    <w:basedOn w:val="Normal"/>
    <w:link w:val="CharStyle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0">
    <w:name w:val="Tekst treści (3)"/>
    <w:basedOn w:val="Normal"/>
    <w:link w:val="CharStyle11"/>
    <w:pPr>
      <w:widowControl w:val="0"/>
      <w:shd w:val="clear" w:color="auto" w:fill="auto"/>
      <w:spacing w:after="280" w:line="473" w:lineRule="auto"/>
      <w:ind w:right="75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F68DA5"/>
      <w:sz w:val="18"/>
      <w:szCs w:val="1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SKM_C25825040714230</dc:title>
  <dc:subject/>
  <dc:creator/>
  <cp:keywords/>
</cp:coreProperties>
</file>