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638175</wp:posOffset>
                </wp:positionH>
                <wp:positionV relativeFrom="paragraph">
                  <wp:posOffset>12700</wp:posOffset>
                </wp:positionV>
                <wp:extent cx="1414145" cy="59436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color w:val="FA93AC"/>
                                <w:sz w:val="26"/>
                                <w:szCs w:val="26"/>
                              </w:rPr>
                              <w:t>B U K M1 S T I&amp;</w:t>
                              <w:br/>
                              <w:t>0miny i Miasta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52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color w:val="FA93AC"/>
                                <w:sz w:val="26"/>
                                <w:szCs w:val="26"/>
                              </w:rPr>
                              <w:t>Węgliniec 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.25pt;margin-top:1.pt;width:111.35000000000001pt;height:46.8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color w:val="FA93AC"/>
                          <w:sz w:val="26"/>
                          <w:szCs w:val="26"/>
                        </w:rPr>
                        <w:t>B U K M1 S T I&amp;</w:t>
                        <w:br/>
                        <w:t>0miny i Miasta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52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color w:val="FA93AC"/>
                          <w:sz w:val="26"/>
                          <w:szCs w:val="26"/>
                        </w:rPr>
                        <w:t>Węgliniec *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Zarządzenie Nr 72 72025</w:t>
        <w:br/>
        <w:t>Burmistrza Gminy i Miasta Węgliniec</w:t>
        <w:br/>
        <w:t>z dnia 16 lipca 2025 r.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7"/>
          <w:b/>
          <w:bCs/>
        </w:rPr>
        <w:t>w sprawie organizacji i funkcjonowania Systemu Stałych Dyżurów na obszarze Gminy</w:t>
        <w:br/>
        <w:t>Węgliniec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680"/>
        <w:jc w:val="both"/>
      </w:pPr>
      <w:r>
        <w:rPr>
          <w:rStyle w:val="CharStyle3"/>
        </w:rPr>
        <w:t>Na podstawie art. 7 ustawy z dnia 11 marca 2022 r, o obronie Ojczyzny ( Dz.U. z 2025 r., poz. 825 ), w związku z § 3 ust. 1 i 2 rozporządzenia Rady Ministrów z dnia 21 kwietnia 2022 r. w sprawie sposobu wykonywania zadań w ramach obowiązku obrony ( Dz.U. z 2025 poz. 875 ), § 8 ust. 1 i 5 pkt. 7 rozporządzenia Rady Ministrów z dnia 18 marca 2025 r. w sprawie gotowości obronnej państwa ( Dz.U z 2025 r. poz. 355 ), oraz zarządzenia Wojewody Dolnośląskiego Nr 281 z dnia 7 maja 2025 roku w sprawie organizacji i funkcjonowania Systemu Stałych Dyżurów na obszarze Województwa Dolnośląskiego zarządzam co następuje: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2" w:name="bookmark2"/>
      <w:r>
        <w:rPr>
          <w:rStyle w:val="CharStyle7"/>
          <w:b/>
          <w:bCs/>
        </w:rPr>
        <w:t>§1-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5" w:val="left"/>
        </w:tabs>
        <w:bidi w:val="0"/>
        <w:spacing w:before="0" w:after="0" w:line="240" w:lineRule="auto"/>
        <w:ind w:left="640" w:right="0" w:hanging="320"/>
        <w:jc w:val="both"/>
      </w:pPr>
      <w:r>
        <w:rPr>
          <w:rStyle w:val="CharStyle3"/>
        </w:rPr>
        <w:t>W celu zapewnienia ciągłości przekazywania decyzji organów uprawnionych do uruchomienia realizacji zadań wynikających z wprowadzenia wyższych stanów gotowości obronnej państwa oraz przekazywania właściwym organom informacji o stanie sił uruchamianych podczas podwyższania gotowości obronnej państwa, tworzy się w stanie stałej gotowości obronnej państwa System Stałych Dyżurów na obszarze Gminy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8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3"/>
        </w:rPr>
        <w:t>Organizacja systemu stałych dyżurów następuje poprzez: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1000" w:right="0" w:hanging="320"/>
        <w:jc w:val="left"/>
      </w:pPr>
      <w:r>
        <w:rPr>
          <w:rStyle w:val="CharStyle3"/>
        </w:rPr>
        <w:t>wytypowanie pomieszczeń, w których będzie pełniony stały dyżur i wyposażenie ich w urządzenia teleinformatyczne;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wyznaczenie obsad do pełnienia stałych dyżurów;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260" w:line="240" w:lineRule="auto"/>
        <w:ind w:left="1000" w:right="0" w:hanging="320"/>
        <w:jc w:val="left"/>
      </w:pPr>
      <w:r>
        <w:rPr>
          <w:rStyle w:val="CharStyle3"/>
        </w:rPr>
        <w:t>wyposażenie miejsca do pełnienia stałego dyżuru w instrukcję stałego dyżuru oraz inną niezbędną dokumentację wynikającą z potrzeb organizacyjnych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27" w:val="left"/>
        </w:tabs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rStyle w:val="CharStyle7"/>
          <w:b/>
          <w:bCs/>
        </w:rPr>
        <w:t>.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88" w:val="left"/>
        </w:tabs>
        <w:bidi w:val="0"/>
        <w:spacing w:before="0" w:after="0" w:line="233" w:lineRule="auto"/>
        <w:ind w:left="0" w:right="0" w:firstLine="280"/>
        <w:jc w:val="left"/>
      </w:pPr>
      <w:r>
        <w:rPr>
          <w:rStyle w:val="CharStyle3"/>
        </w:rPr>
        <w:t>W ramach systemu stałych dyżurów na obszarze Gminy Węgliniec tworzy się 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7" w:val="left"/>
        </w:tabs>
        <w:bidi w:val="0"/>
        <w:spacing w:before="0" w:after="320" w:line="233" w:lineRule="auto"/>
        <w:ind w:left="1000" w:right="0" w:hanging="320"/>
        <w:jc w:val="both"/>
      </w:pPr>
      <w:r>
        <w:rPr>
          <w:rStyle w:val="CharStyle3"/>
        </w:rPr>
        <w:t>stały dyżur Burmistrza Gminy i Miasta Węgliniec - w głównej siedzibie Urzędu Gminy i Miasta Węgliniec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27" w:val="left"/>
        </w:tabs>
        <w:bidi w:val="0"/>
        <w:spacing w:before="0" w:after="220" w:line="240" w:lineRule="auto"/>
        <w:ind w:left="0" w:right="0" w:firstLine="0"/>
        <w:jc w:val="center"/>
      </w:pPr>
      <w:bookmarkStart w:id="6" w:name="bookmark6"/>
      <w:r>
        <w:rPr>
          <w:rStyle w:val="CharStyle7"/>
          <w:b/>
          <w:bCs/>
        </w:rPr>
        <w:t>.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45" w:val="left"/>
        </w:tabs>
        <w:bidi w:val="0"/>
        <w:spacing w:before="0" w:after="0" w:line="240" w:lineRule="auto"/>
        <w:ind w:left="640" w:right="0" w:hanging="320"/>
        <w:jc w:val="both"/>
      </w:pPr>
      <w:r>
        <w:rPr>
          <w:rStyle w:val="CharStyle3"/>
        </w:rPr>
        <w:t>Przekazywanie zadań w ramach systemu stałych dyżurów realizowane jest z wykorzystaniem dostępnych środków komunikacji ( np. elektronicznej, radiowej, telefonicznej itp.)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45" w:val="left"/>
        </w:tabs>
        <w:bidi w:val="0"/>
        <w:spacing w:before="0" w:after="260" w:line="240" w:lineRule="auto"/>
        <w:ind w:left="640" w:right="0" w:hanging="320"/>
        <w:jc w:val="both"/>
        <w:sectPr>
          <w:footnotePr>
            <w:pos w:val="pageBottom"/>
            <w:numFmt w:val="decimal"/>
            <w:numRestart w:val="continuous"/>
          </w:footnotePr>
          <w:pgSz w:w="11906" w:h="16838"/>
          <w:pgMar w:top="683" w:right="1445" w:bottom="683" w:left="1360" w:header="255" w:footer="255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Sprawdzenie gotowości systemu, o którym mowa w § 2, do przekazywania decyzji oraz zadań wynikających ze stanów gotowości obronnej państwa, realizowane jest w ramach treningów systemu stałych dyżurów.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79" w:val="left"/>
        </w:tabs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7"/>
          <w:b/>
          <w:bCs/>
          <w:color w:val="424242"/>
        </w:rPr>
        <w:t>.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30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System Stałych Dyżurów na obszarze Województwa Dolnośląskiego uruchamia Wojewoda Dolnośląski.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Zadanie w zakresie uruchomienia stałych dyżurów na obszarze Gminy Węgliniec realizuje Wydział Społeczno - Administracyjny jako komórka Urzędu Gminy i Miasta Węgliniec odpowiedzialna za zarządzanie kryzysowe i sprawy obronne.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color w:val="424242"/>
        </w:rPr>
        <w:t>Stały dyżur uruchamia się: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9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rStyle w:val="CharStyle3"/>
          <w:color w:val="424242"/>
        </w:rPr>
        <w:t>w stanie stałej gotowości obronnej państwa;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88" w:val="left"/>
        </w:tabs>
        <w:bidi w:val="0"/>
        <w:spacing w:before="0" w:after="0" w:line="240" w:lineRule="auto"/>
        <w:ind w:left="760" w:right="0" w:hanging="360"/>
        <w:jc w:val="both"/>
      </w:pPr>
      <w:r>
        <w:rPr>
          <w:rStyle w:val="CharStyle3"/>
          <w:color w:val="424242"/>
        </w:rPr>
        <w:t>w warunkach wystąpienia zagrożenia bezpieczeństwa państwa w celu realizacji procedur związanych z podwyższaniem gotowości obronnej państwa;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18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rStyle w:val="CharStyle3"/>
          <w:color w:val="424242"/>
        </w:rPr>
        <w:t>w celu realizacji zadań szkoleniowych.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Uruchomienie systemu stałego dyżuru następuje niezwłocznie po otrzymaniu decyzji o jego uruchomieniu.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5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Stały dyżur pełniony jest w sposób ciągły, od momentu uruchomienia do czasu otrzymania decyzji o jego zakończeniu.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54" w:val="left"/>
        </w:tabs>
        <w:bidi w:val="0"/>
        <w:spacing w:before="0" w:after="600" w:line="240" w:lineRule="auto"/>
        <w:ind w:left="340" w:right="0" w:hanging="340"/>
        <w:jc w:val="both"/>
      </w:pPr>
      <w:r>
        <w:rPr>
          <w:rStyle w:val="CharStyle3"/>
          <w:color w:val="424242"/>
        </w:rPr>
        <w:t>Decyzję o zakończeniu działania stałego dyżuru wydaje Burmistrz Gminy i Miasta w Węglińcu.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79" w:val="left"/>
        </w:tabs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rStyle w:val="CharStyle7"/>
          <w:b/>
          <w:bCs/>
          <w:color w:val="424242"/>
        </w:rPr>
        <w:t>.</w:t>
      </w:r>
      <w:bookmarkEnd w:id="10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35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Na kierownika stałego dyżuru Burmistrza Gminy i Miasta Węgliniec wyznaczam Sekretarza Gminy i Miasta, który jest odpowiedzialny za nadzór nad prawidłowym funkcjonowaniem stałego dyżuru burmistrza.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Do składu stałego dyżuru Burmistrza Gminy i Miasta Węgliniec na wniosek Sekretarza Gminy i Miasta, wyznacza się pracowników poszczególnych komórek organizacyjnych Urzędu Gminy i Miasta Węgliniec i pełniony będzie w sekretariacie burmistrza.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Do składu stałego dyżuru nie włącza się osób posiadających przydziały mobilizacyjne, organizacyjno-mobilizacyjne lub pracownicze przydziały mobilizacyjne.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color w:val="424242"/>
        </w:rPr>
        <w:t>Stały dyżur pełniony jest całodobowo w systemie dwuzmianowym.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color w:val="424242"/>
        </w:rPr>
        <w:t>Obsadę jednej zmiany stałego dyżuru stanowią: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99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rStyle w:val="CharStyle3"/>
          <w:color w:val="424242"/>
        </w:rPr>
        <w:t>kierownik zmiany;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rStyle w:val="CharStyle3"/>
          <w:color w:val="424242"/>
        </w:rPr>
        <w:t>dyżurny zmiany.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40" w:right="0" w:hanging="340"/>
        <w:jc w:val="both"/>
      </w:pPr>
      <w:r>
        <w:rPr>
          <w:rStyle w:val="CharStyle3"/>
          <w:color w:val="424242"/>
        </w:rPr>
        <w:t>Stały dyżur pełnią przeszkoleni pracownicy, legitymujący się poświadczeniem bezpieczeństwa lub upoważnieniem uprawniającym do dostępu do informacji niejawnych.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0" w:val="left"/>
        </w:tabs>
        <w:bidi w:val="0"/>
        <w:spacing w:before="0" w:after="300" w:line="240" w:lineRule="auto"/>
        <w:ind w:left="340" w:right="0" w:hanging="340"/>
        <w:jc w:val="both"/>
      </w:pPr>
      <w:r>
        <w:rPr>
          <w:rStyle w:val="CharStyle3"/>
          <w:color w:val="424242"/>
        </w:rPr>
        <w:t>Osoby wyznaczone do pełnienia stałego dyżuru podlegają corocznemu szkoleniu obronnemu.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74" w:val="left"/>
        </w:tabs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7"/>
          <w:b/>
          <w:bCs/>
          <w:color w:val="424242"/>
        </w:rPr>
        <w:t>.</w:t>
      </w:r>
      <w:bookmarkEnd w:id="12"/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35" w:val="left"/>
        </w:tabs>
        <w:bidi w:val="0"/>
        <w:spacing w:before="0" w:after="260" w:line="240" w:lineRule="auto"/>
        <w:ind w:left="320" w:right="0" w:hanging="320"/>
        <w:jc w:val="both"/>
        <w:sectPr>
          <w:footnotePr>
            <w:pos w:val="pageBottom"/>
            <w:numFmt w:val="decimal"/>
            <w:numRestart w:val="continuous"/>
          </w:footnotePr>
          <w:pgSz w:w="11906" w:h="16838"/>
          <w:pgMar w:top="1922" w:right="1402" w:bottom="1922" w:left="1690" w:header="1494" w:footer="1494" w:gutter="0"/>
          <w:cols w:space="720"/>
          <w:noEndnote/>
          <w:rtlGutter w:val="0"/>
          <w:docGrid w:linePitch="360"/>
        </w:sectPr>
      </w:pPr>
      <w:r>
        <w:rPr>
          <w:rStyle w:val="CharStyle3"/>
          <w:color w:val="424242"/>
        </w:rPr>
        <w:t>Miejsca pełnienia stałego dyżuru powinny być wyposażone w środki łączności przewodowej, radiowej, teleinformatycznej, niezbędny sprzęt biurowy i kwaterunkowy.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rStyle w:val="CharStyle7"/>
          <w:b/>
          <w:bCs/>
        </w:rPr>
        <w:t>§7.</w:t>
      </w:r>
      <w:bookmarkEnd w:id="14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9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rStyle w:val="CharStyle3"/>
        </w:rPr>
        <w:t>Zobowiązuję Kierownika Wydziału Społeczno - Administracyjnego, oraz pracownika ds. zarządzania kryzysowego do: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rStyle w:val="CharStyle3"/>
        </w:rPr>
        <w:t>zorganizowania i przygotowania stałego dyżuru według zasad określonych w niniejszym zarządzeniu;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72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rStyle w:val="CharStyle3"/>
        </w:rPr>
        <w:t>opracowania dokumentacji stałego dyżuru według wzoru stanowiącego załącznik do niniejszego zarządzenia i utrzymywania jej w stałej aktualności;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67" w:val="left"/>
        </w:tabs>
        <w:bidi w:val="0"/>
        <w:spacing w:before="0" w:after="260" w:line="240" w:lineRule="auto"/>
        <w:ind w:left="720" w:right="0" w:hanging="340"/>
        <w:jc w:val="both"/>
      </w:pPr>
      <w:r>
        <w:rPr>
          <w:rStyle w:val="CharStyle3"/>
        </w:rPr>
        <w:t>aktualizowania, potwierdzania i przekazywania danych teleadresowych stałego dyżuru do Wojewody Dolnośląskiego - niezwłocznie po każdej zmianie danych lub w terminie do 28 lutego, w przypadku niewystąpienia zmian.</w:t>
      </w:r>
    </w:p>
    <w:p>
      <w:pPr>
        <w:pStyle w:val="Style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478" w:val="left"/>
        </w:tabs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rStyle w:val="CharStyle7"/>
          <w:b/>
          <w:bCs/>
        </w:rPr>
        <w:t>.</w:t>
      </w:r>
      <w:bookmarkEnd w:id="16"/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39" w:val="left"/>
        </w:tabs>
        <w:bidi w:val="0"/>
        <w:spacing w:before="0" w:after="300" w:line="240" w:lineRule="auto"/>
        <w:ind w:left="340" w:right="0" w:hanging="340"/>
        <w:jc w:val="both"/>
      </w:pPr>
      <w:r>
        <w:rPr>
          <w:rStyle w:val="CharStyle3"/>
        </w:rPr>
        <w:t>System stałych dyżurów, według zasad określonych w niniejszym zarządzeniu, należy zorganizować do dnia 29 września 2025 r. i utrzymywać w stałej gotowości.</w:t>
      </w:r>
    </w:p>
    <w:p>
      <w:pPr>
        <w:pStyle w:val="Style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488" w:val="left"/>
        </w:tabs>
        <w:bidi w:val="0"/>
        <w:spacing w:before="0" w:line="240" w:lineRule="auto"/>
        <w:ind w:left="0" w:right="0" w:firstLine="0"/>
        <w:jc w:val="center"/>
      </w:pPr>
      <w:bookmarkStart w:id="18" w:name="bookmark18"/>
      <w:r>
        <w:rPr>
          <w:rStyle w:val="CharStyle7"/>
          <w:b/>
          <w:bCs/>
        </w:rPr>
        <w:t>.</w:t>
      </w:r>
      <w:bookmarkEnd w:id="18"/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39" w:val="left"/>
        </w:tabs>
        <w:bidi w:val="0"/>
        <w:spacing w:before="0" w:after="260" w:line="240" w:lineRule="auto"/>
        <w:ind w:left="340" w:right="0" w:hanging="340"/>
        <w:jc w:val="left"/>
      </w:pPr>
      <w:r>
        <w:rPr>
          <w:rStyle w:val="CharStyle3"/>
        </w:rPr>
        <w:t>Nadzór nad wykonaniem zarządzenia powierza się Sekretarzowi Gminy i Miasta Węgliniec.</w:t>
      </w:r>
    </w:p>
    <w:p>
      <w:pPr>
        <w:pStyle w:val="Style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598" w:val="left"/>
        </w:tabs>
        <w:bidi w:val="0"/>
        <w:spacing w:before="0" w:line="240" w:lineRule="auto"/>
        <w:ind w:left="0" w:right="0" w:firstLine="0"/>
        <w:jc w:val="center"/>
      </w:pPr>
      <w:bookmarkStart w:id="20" w:name="bookmark20"/>
      <w:r>
        <w:rPr>
          <w:rStyle w:val="CharStyle7"/>
          <w:b/>
          <w:bCs/>
        </w:rPr>
        <w:t>.</w:t>
      </w:r>
      <w:bookmarkEnd w:id="20"/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39" w:val="left"/>
        </w:tabs>
        <w:bidi w:val="0"/>
        <w:spacing w:before="0" w:after="300" w:line="240" w:lineRule="auto"/>
        <w:ind w:left="340" w:right="0" w:hanging="340"/>
        <w:jc w:val="left"/>
      </w:pPr>
      <w:r>
        <w:rPr>
          <w:rStyle w:val="CharStyle3"/>
        </w:rPr>
        <w:t>Traci moc zarządzenie Nr 13/2020 Burmistrza Gminy i Miasta Węgliniec z dnia 30 stycznia 2020 r. w sprawie zasad organizacji i funkcjonowania stałego dyżuru Burmistrza Gminy i Miasta Węgliniec</w:t>
      </w:r>
    </w:p>
    <w:p>
      <w:pPr>
        <w:pStyle w:val="Style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594" w:val="left"/>
        </w:tabs>
        <w:bidi w:val="0"/>
        <w:spacing w:before="0" w:line="240" w:lineRule="auto"/>
        <w:ind w:left="0" w:right="0" w:firstLine="0"/>
        <w:jc w:val="center"/>
      </w:pPr>
      <w:bookmarkStart w:id="22" w:name="bookmark22"/>
      <w:r>
        <w:rPr>
          <w:rStyle w:val="CharStyle7"/>
          <w:b/>
          <w:bCs/>
        </w:rPr>
        <w:t>.</w:t>
      </w:r>
      <w:bookmarkEnd w:id="22"/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49" w:val="left"/>
        </w:tabs>
        <w:bidi w:val="0"/>
        <w:spacing w:before="0" w:after="1220" w:line="240" w:lineRule="auto"/>
        <w:ind w:left="0" w:right="0" w:firstLine="0"/>
        <w:jc w:val="left"/>
      </w:pPr>
      <w:r>
        <w:rPr>
          <w:rStyle w:val="CharStyle3"/>
        </w:rPr>
        <w:t>Zarządzenie wchodzi w życie z dniem podpisania.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0"/>
          <w:szCs w:val="20"/>
        </w:rPr>
      </w:pPr>
      <w:r>
        <w:rPr>
          <w:rStyle w:val="CharStyle11"/>
        </w:rPr>
        <w:t>Burmistrz</w:t>
        <w:br/>
        <w:t xml:space="preserve">Gminy i </w:t>
      </w:r>
      <w:r>
        <w:rPr>
          <w:rStyle w:val="CharStyle11"/>
          <w:rFonts w:ascii="Times New Roman" w:eastAsia="Times New Roman" w:hAnsi="Times New Roman" w:cs="Times New Roman"/>
          <w:color w:val="9379BF"/>
          <w:sz w:val="20"/>
          <w:szCs w:val="20"/>
        </w:rPr>
        <w:t>Mia^h</w:t>
      </w:r>
      <w:r>
        <w:rPr>
          <w:rStyle w:val="CharStyle11"/>
        </w:rPr>
        <w:t>Węgli nieć</w:t>
        <w:br/>
      </w:r>
      <w:r>
        <w:rPr>
          <w:rStyle w:val="CharStyle11"/>
          <w:rFonts w:ascii="Times New Roman" w:eastAsia="Times New Roman" w:hAnsi="Times New Roman" w:cs="Times New Roman"/>
          <w:color w:val="BD7FB3"/>
          <w:sz w:val="20"/>
          <w:szCs w:val="20"/>
        </w:rPr>
        <w:t>Manus^^Sraczorek</w:t>
      </w:r>
    </w:p>
    <w:sectPr>
      <w:footnotePr>
        <w:pos w:val="pageBottom"/>
        <w:numFmt w:val="decimal"/>
        <w:numRestart w:val="continuous"/>
      </w:footnotePr>
      <w:pgSz w:w="11906" w:h="16838"/>
      <w:pgMar w:top="1613" w:right="1456" w:bottom="1613" w:left="1656" w:header="1185" w:footer="118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2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242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6">
    <w:multiLevelType w:val="multilevel"/>
    <w:lvl w:ilvl="0">
      <w:start w:val="8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3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3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3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Nagłówek #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FA93AC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Nagłówek #1"/>
    <w:basedOn w:val="Normal"/>
    <w:link w:val="CharStyle7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260" w:line="338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A93AC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SKM_C25825071614280</dc:title>
  <dc:subject/>
  <dc:creator/>
  <cp:keywords/>
</cp:coreProperties>
</file>