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3"/>
          <w:b/>
          <w:bCs/>
          <w:sz w:val="30"/>
          <w:szCs w:val="30"/>
        </w:rPr>
        <w:t>Z A W I A D O M I E N I 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38" w:h="11906" w:orient="landscape"/>
          <w:pgMar w:top="621" w:right="434" w:bottom="900" w:left="285" w:header="193" w:footer="472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27 lutego 2026 r. o godz. 11</w:t>
      </w:r>
      <w:r>
        <w:rPr>
          <w:rStyle w:val="CharStyle3"/>
          <w:b/>
          <w:bCs/>
          <w:vertAlign w:val="superscript"/>
        </w:rPr>
        <w:t>00</w:t>
      </w:r>
      <w:r>
        <w:rPr>
          <w:rStyle w:val="CharStyle3"/>
          <w:b/>
          <w:bCs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621" w:right="0" w:bottom="6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left"/>
      </w:pPr>
      <w:r>
        <w:rPr>
          <w:rStyle w:val="CharStyle6"/>
          <w:b/>
          <w:bCs/>
        </w:rPr>
        <w:t>PROPONOWANY PORZĄDEK OBRAD: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2" w:val="left"/>
        </w:tabs>
        <w:bidi w:val="0"/>
        <w:spacing w:before="0" w:after="0"/>
        <w:ind w:left="0" w:right="0" w:firstLine="200"/>
        <w:jc w:val="both"/>
      </w:pPr>
      <w:r>
        <w:rPr>
          <w:rStyle w:val="CharStyle6"/>
        </w:rPr>
        <w:t>Otwarcie posiedzenia i stwierdzenie jego prawomocności.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7" w:val="left"/>
        </w:tabs>
        <w:bidi w:val="0"/>
        <w:spacing w:before="0" w:after="0"/>
        <w:ind w:left="0" w:right="0" w:firstLine="200"/>
        <w:jc w:val="both"/>
      </w:pPr>
      <w:r>
        <w:rPr>
          <w:rStyle w:val="CharStyle6"/>
        </w:rPr>
        <w:t>Ustalenie porządku obrad.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7" w:val="left"/>
        </w:tabs>
        <w:bidi w:val="0"/>
        <w:spacing w:before="0" w:after="0"/>
        <w:ind w:left="0" w:right="0" w:firstLine="200"/>
        <w:jc w:val="both"/>
      </w:pPr>
      <w:r>
        <w:rPr>
          <w:rStyle w:val="CharStyle6"/>
        </w:rPr>
        <w:t>Interpelacje i zapytania radnych.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7" w:val="left"/>
        </w:tabs>
        <w:bidi w:val="0"/>
        <w:spacing w:before="0" w:after="0"/>
        <w:ind w:left="0" w:right="0" w:firstLine="200"/>
        <w:jc w:val="both"/>
      </w:pPr>
      <w:r>
        <w:rPr>
          <w:rStyle w:val="CharStyle6"/>
        </w:rPr>
        <w:t>Przyjęcie protokołu sesji z dnia 30.01.2026 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59" w:val="left"/>
        </w:tabs>
        <w:bidi w:val="0"/>
        <w:spacing w:before="0" w:after="0"/>
        <w:ind w:left="560" w:right="0" w:hanging="360"/>
        <w:jc w:val="both"/>
      </w:pPr>
      <w:r>
        <w:rPr>
          <w:rStyle w:val="CharStyle6"/>
        </w:rPr>
        <w:t>Sprawozdanie z prac Burmistrza za okres od 01.01.2026 r. do 31.01.2026 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59" w:val="left"/>
        </w:tabs>
        <w:bidi w:val="0"/>
        <w:spacing w:before="0" w:after="0"/>
        <w:ind w:left="560" w:right="0" w:hanging="360"/>
        <w:jc w:val="both"/>
      </w:pPr>
      <w:r>
        <w:rPr>
          <w:rStyle w:val="CharStyle6"/>
        </w:rPr>
        <w:t>Analiza funkcjonowania opieki zdrowotnej na terenie gminy Węgliniec.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59" w:val="left"/>
        </w:tabs>
        <w:bidi w:val="0"/>
        <w:spacing w:before="0" w:after="0"/>
        <w:ind w:left="560" w:right="0" w:hanging="360"/>
        <w:jc w:val="both"/>
      </w:pPr>
      <w:r>
        <w:rPr>
          <w:rStyle w:val="CharStyle6"/>
        </w:rPr>
        <w:t>Analiza funkcjonowania i finansowania klubów sportowych za rok 2025.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59" w:val="left"/>
        </w:tabs>
        <w:bidi w:val="0"/>
        <w:spacing w:before="0" w:after="0"/>
        <w:ind w:left="560" w:right="0" w:hanging="360"/>
        <w:jc w:val="both"/>
      </w:pPr>
      <w:r>
        <w:rPr>
          <w:rStyle w:val="CharStyle6"/>
        </w:rPr>
        <w:t>Analiza sprawozdania z realizacji Gminnego Programu Przeciwdziałania Przemocy Domowej oraz Ochrony Osób Doznających Przemocy Domowej w Gminie Węgliniec za rok 2025.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2" w:val="left"/>
        </w:tabs>
        <w:bidi w:val="0"/>
        <w:spacing w:before="0" w:after="0"/>
        <w:ind w:left="0" w:right="0" w:firstLine="200"/>
        <w:jc w:val="both"/>
      </w:pPr>
      <w:r>
        <w:rPr>
          <w:rStyle w:val="CharStyle6"/>
        </w:rPr>
        <w:t>Plany inwestycyjne na rok 2026.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2" w:val="left"/>
        </w:tabs>
        <w:bidi w:val="0"/>
        <w:spacing w:before="0" w:after="0"/>
        <w:ind w:left="560" w:right="0" w:hanging="360"/>
        <w:jc w:val="both"/>
      </w:pPr>
      <w:r>
        <w:rPr>
          <w:rStyle w:val="CharStyle6"/>
        </w:rPr>
        <w:t>Planowane remonty dróg, chodników i sieci wodno</w:t>
        <w:softHyphen/>
        <w:t>kanalizacyjnej.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2" w:val="left"/>
        </w:tabs>
        <w:bidi w:val="0"/>
        <w:spacing w:before="0" w:after="0"/>
        <w:ind w:left="0" w:right="0" w:firstLine="200"/>
        <w:jc w:val="both"/>
      </w:pPr>
      <w:r>
        <w:rPr>
          <w:rStyle w:val="CharStyle6"/>
        </w:rPr>
        <w:t>Blok uchwał: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70" w:val="left"/>
        </w:tabs>
        <w:bidi w:val="0"/>
        <w:spacing w:before="0" w:after="0"/>
        <w:ind w:left="0" w:right="0" w:firstLine="420"/>
        <w:jc w:val="both"/>
      </w:pPr>
      <w:r>
        <w:rPr>
          <w:rStyle w:val="CharStyle6"/>
        </w:rPr>
        <w:t>w sprawie zmian w budżecie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70" w:val="left"/>
        </w:tabs>
        <w:bidi w:val="0"/>
        <w:spacing w:before="0" w:after="0"/>
        <w:ind w:left="840" w:right="0" w:hanging="420"/>
        <w:jc w:val="both"/>
      </w:pPr>
      <w:r>
        <w:rPr>
          <w:rStyle w:val="CharStyle6"/>
        </w:rPr>
        <w:t>w sprawie rozpatrzenia skargi na Burmistrza Gminy i Miasta Węgliniec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50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zatwierdzenia „Sołeckiej Strategii Rozwoju Wsi Kościelna Wieś”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50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wyrażenia zgody na zawarcie umów dzierżawy i najmu nieruchomości gruntowych lub ich części na czas nieokreślony oraz na odstąpienie od przetargowego trybu zawarcia tych umów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50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wyrażenia zgody na odstąpienie od obowiązku przetargowego i zawarcie kolejnej umowy dzierżawy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0"/>
        <w:ind w:left="0" w:right="0" w:firstLine="0"/>
        <w:jc w:val="left"/>
      </w:pPr>
      <w:r>
        <w:rPr>
          <w:rStyle w:val="CharStyle6"/>
        </w:rPr>
        <w:t>Sprawy organizacyjne: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2" w:val="left"/>
        </w:tabs>
        <w:bidi w:val="0"/>
        <w:spacing w:before="0" w:after="0" w:line="228" w:lineRule="auto"/>
        <w:ind w:left="860" w:right="0" w:hanging="560"/>
        <w:jc w:val="both"/>
      </w:pPr>
      <w:r>
        <w:rPr>
          <w:rStyle w:val="CharStyle6"/>
        </w:rPr>
        <w:t>Głosowanie wniosków komisji wypracowanych w okresie międzysesyjnym.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2" w:val="left"/>
        </w:tabs>
        <w:bidi w:val="0"/>
        <w:spacing w:before="0" w:after="40" w:line="228" w:lineRule="auto"/>
        <w:ind w:left="860" w:right="0" w:hanging="560"/>
        <w:jc w:val="both"/>
      </w:pPr>
      <w:r>
        <w:rPr>
          <w:rStyle w:val="CharStyle6"/>
        </w:rPr>
        <w:t>Zapoznanie z korespondencją skierowaną do Rady w okresie międzysesyjnym.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0"/>
        <w:ind w:left="0" w:right="0" w:firstLine="0"/>
        <w:jc w:val="left"/>
      </w:pPr>
      <w:r>
        <w:rPr>
          <w:rStyle w:val="CharStyle6"/>
        </w:rPr>
        <w:t>Odpowiedzi na interpelacje i zapytania.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40"/>
        <w:ind w:left="0" w:right="0" w:firstLine="0"/>
        <w:jc w:val="left"/>
      </w:pPr>
      <w:r>
        <w:rPr>
          <w:rStyle w:val="CharStyle6"/>
        </w:rPr>
        <w:t>Wolne głosy i komunikaty.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4" w:val="left"/>
        </w:tabs>
        <w:bidi w:val="0"/>
        <w:spacing w:before="0" w:after="900" w:line="326" w:lineRule="auto"/>
        <w:ind w:left="0" w:right="0" w:firstLine="0"/>
        <w:jc w:val="left"/>
      </w:pPr>
      <w:r>
        <w:rPr>
          <w:rStyle w:val="CharStyle6"/>
        </w:rPr>
        <w:t>Zamknięcie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1"/>
        </w:rPr>
        <w:t>PRZEWODNICZĄCY RADY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3"/>
          <w:i/>
          <w:iCs/>
          <w:sz w:val="24"/>
          <w:szCs w:val="24"/>
        </w:rPr>
        <w:t xml:space="preserve">(-) </w:t>
      </w:r>
      <w:r>
        <w:rPr>
          <w:rStyle w:val="CharStyle13"/>
          <w:i/>
          <w:iCs/>
          <w:smallCaps/>
        </w:rPr>
        <w:t>Marek Wawrzynek</w:t>
      </w:r>
    </w:p>
    <w:sectPr>
      <w:footnotePr>
        <w:pos w:val="pageBottom"/>
        <w:numFmt w:val="decimal"/>
        <w:numRestart w:val="continuous"/>
      </w:footnotePr>
      <w:type w:val="continuous"/>
      <w:pgSz w:w="16838" w:h="11906" w:orient="landscape"/>
      <w:pgMar w:top="621" w:right="434" w:bottom="621" w:left="285" w:header="0" w:footer="3" w:gutter="0"/>
      <w:cols w:num="2" w:space="80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Tekst treści (4)_"/>
    <w:basedOn w:val="DefaultParagraphFont"/>
    <w:link w:val="Style12"/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line="24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260"/>
      <w:ind w:right="7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Tekst treści (4)"/>
    <w:basedOn w:val="Normal"/>
    <w:link w:val="CharStyle13"/>
    <w:pPr>
      <w:widowControl w:val="0"/>
      <w:shd w:val="clear" w:color="auto" w:fill="auto"/>
      <w:spacing w:after="160"/>
      <w:ind w:right="1120"/>
      <w:jc w:val="right"/>
    </w:pPr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