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0" w:right="0" w:firstLine="0"/>
        <w:jc w:val="left"/>
        <w:rPr>
          <w:sz w:val="30"/>
          <w:szCs w:val="30"/>
        </w:rPr>
      </w:pPr>
      <w:r>
        <w:rPr>
          <w:rStyle w:val="CharStyle5"/>
          <w:sz w:val="30"/>
          <w:szCs w:val="30"/>
        </w:rPr>
        <w:t xml:space="preserve">w dniu </w:t>
      </w:r>
      <w:r>
        <w:rPr>
          <w:rStyle w:val="CharStyle5"/>
          <w:b/>
          <w:bCs/>
          <w:sz w:val="30"/>
          <w:szCs w:val="30"/>
        </w:rPr>
        <w:t xml:space="preserve">29 czerwca 2026 r. </w:t>
      </w:r>
      <w:r>
        <w:rPr>
          <w:rStyle w:val="CharStyle5"/>
          <w:sz w:val="30"/>
          <w:szCs w:val="30"/>
        </w:rPr>
        <w:t xml:space="preserve">o godz. </w:t>
      </w:r>
      <w:r>
        <w:rPr>
          <w:rStyle w:val="CharStyle5"/>
          <w:b/>
          <w:bCs/>
          <w:sz w:val="30"/>
          <w:szCs w:val="30"/>
        </w:rPr>
        <w:t>09</w:t>
      </w:r>
      <w:r>
        <w:rPr>
          <w:rStyle w:val="CharStyle5"/>
          <w:b/>
          <w:bCs/>
          <w:sz w:val="30"/>
          <w:szCs w:val="30"/>
          <w:vertAlign w:val="superscript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  <w:rPr>
          <w:sz w:val="30"/>
          <w:szCs w:val="30"/>
        </w:rPr>
      </w:pPr>
      <w:r>
        <w:rPr>
          <w:rStyle w:val="CharStyle5"/>
          <w:sz w:val="30"/>
          <w:szCs w:val="30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b/>
          <w:bCs/>
          <w:sz w:val="30"/>
          <w:szCs w:val="30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40"/>
        <w:jc w:val="left"/>
        <w:rPr>
          <w:sz w:val="30"/>
          <w:szCs w:val="30"/>
        </w:rPr>
      </w:pPr>
      <w:r>
        <w:rPr>
          <w:rStyle w:val="CharStyle5"/>
          <w:b/>
          <w:bCs/>
          <w:sz w:val="30"/>
          <w:szCs w:val="30"/>
        </w:rPr>
        <w:t>GOSPODARCZEJ, SPOŁECZNEJ, REWIZYJNEJ 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60"/>
        <w:jc w:val="left"/>
        <w:rPr>
          <w:sz w:val="28"/>
          <w:szCs w:val="28"/>
        </w:rPr>
      </w:pPr>
      <w:r>
        <w:rPr>
          <w:rStyle w:val="CharStyle5"/>
          <w:b/>
          <w:bCs/>
          <w:sz w:val="28"/>
          <w:szCs w:val="28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O</w:t>
      </w:r>
      <w:r>
        <w:rPr>
          <w:rStyle w:val="CharStyle5"/>
        </w:rPr>
        <w:t>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A</w:t>
      </w:r>
      <w:r>
        <w:rPr>
          <w:rStyle w:val="CharStyle5"/>
        </w:rPr>
        <w:t>naliza finansowania placówek oświatowych.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A</w:t>
      </w:r>
      <w:r>
        <w:rPr>
          <w:rStyle w:val="CharStyle5"/>
        </w:rPr>
        <w:t>naliza projektów organizacyjnych na rok szkolny 2025/2026 oraz 2026/2027.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P</w:t>
      </w:r>
      <w:r>
        <w:rPr>
          <w:rStyle w:val="CharStyle5"/>
        </w:rPr>
        <w:t>lany remontowo-budowlane w podległych placówkach oświatowych.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R</w:t>
      </w:r>
      <w:r>
        <w:rPr>
          <w:rStyle w:val="CharStyle5"/>
        </w:rPr>
        <w:t>aport o stanie Gminy Węgliniec za 2025 rok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O</w:t>
      </w:r>
      <w:r>
        <w:rPr>
          <w:rStyle w:val="CharStyle5"/>
        </w:rPr>
        <w:t>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1460" w:line="240" w:lineRule="auto"/>
        <w:ind w:left="0" w:right="0" w:firstLine="0"/>
        <w:jc w:val="left"/>
      </w:pPr>
      <w:r>
        <w:rPr>
          <w:rStyle w:val="CharStyle5"/>
          <w:b/>
          <w:bCs/>
        </w:rPr>
        <w:t>S</w:t>
      </w:r>
      <w:r>
        <w:rPr>
          <w:rStyle w:val="CharStyle5"/>
        </w:rPr>
        <w:t>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1"/>
          <w:b/>
          <w:bCs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1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50" w:right="1877" w:bottom="850" w:left="1411" w:header="422" w:footer="42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220"/>
      <w:ind w:right="14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